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9AA" w:rsidRPr="00E659AA" w:rsidRDefault="00E659AA" w:rsidP="00E659AA">
      <w:pPr>
        <w:spacing w:after="0" w:line="240" w:lineRule="auto"/>
        <w:rPr>
          <w:rFonts w:ascii="Traditional Arabic" w:eastAsia="Times New Roman" w:hAnsi="Traditional Arabic" w:cs="Traditional Arabic"/>
          <w:b/>
          <w:bCs/>
          <w:color w:val="000000"/>
          <w:sz w:val="18"/>
          <w:szCs w:val="18"/>
          <w:shd w:val="clear" w:color="auto" w:fill="FFFFFF"/>
        </w:rPr>
      </w:pPr>
      <w:r w:rsidRPr="00E659AA">
        <w:rPr>
          <w:rFonts w:ascii="Traditional Arabic" w:eastAsia="Times New Roman" w:hAnsi="Traditional Arabic" w:cs="Traditional Arabic"/>
          <w:b/>
          <w:bCs/>
          <w:color w:val="C00000"/>
          <w:sz w:val="42"/>
          <w:szCs w:val="42"/>
          <w:shd w:val="clear" w:color="auto" w:fill="FFFFFF"/>
          <w:rtl/>
        </w:rPr>
        <w:t>مركز التدريب المالي والمحاسبي</w:t>
      </w:r>
    </w:p>
    <w:p w:rsidR="00E659AA" w:rsidRPr="00E659AA" w:rsidRDefault="00E659AA" w:rsidP="00E659AA">
      <w:pPr>
        <w:spacing w:after="0" w:line="240" w:lineRule="auto"/>
        <w:jc w:val="right"/>
        <w:rPr>
          <w:rFonts w:ascii="Times New Roman" w:eastAsia="Times New Roman" w:hAnsi="Times New Roman" w:cs="Times New Roman"/>
          <w:sz w:val="24"/>
          <w:szCs w:val="24"/>
        </w:rPr>
      </w:pPr>
      <w:r w:rsidRPr="00E659AA">
        <w:rPr>
          <w:rFonts w:ascii="Traditional Arabic" w:eastAsia="Times New Roman" w:hAnsi="Traditional Arabic" w:cs="Traditional Arabic"/>
          <w:b/>
          <w:bCs/>
          <w:color w:val="C00000"/>
          <w:sz w:val="42"/>
          <w:szCs w:val="42"/>
          <w:shd w:val="clear" w:color="auto" w:fill="FFFFFF"/>
        </w:rPr>
        <w:t>   </w:t>
      </w:r>
      <w:r w:rsidRPr="00E659AA">
        <w:rPr>
          <w:rFonts w:ascii="Traditional Arabic" w:eastAsia="Times New Roman" w:hAnsi="Traditional Arabic" w:cs="Traditional Arabic"/>
          <w:b/>
          <w:bCs/>
          <w:color w:val="0070C0"/>
          <w:sz w:val="30"/>
          <w:szCs w:val="30"/>
          <w:shd w:val="clear" w:color="auto" w:fill="FFFFFF"/>
        </w:rPr>
        <w:t> </w:t>
      </w:r>
      <w:r w:rsidRPr="00E659AA">
        <w:rPr>
          <w:rFonts w:ascii="Traditional Arabic" w:eastAsia="Times New Roman" w:hAnsi="Traditional Arabic" w:cs="Traditional Arabic"/>
          <w:b/>
          <w:bCs/>
          <w:color w:val="0070C0"/>
          <w:sz w:val="30"/>
          <w:szCs w:val="30"/>
          <w:shd w:val="clear" w:color="auto" w:fill="FFFFFF"/>
          <w:rtl/>
        </w:rPr>
        <w:t>هو إحدى دوائر وزارة المالية تأسس بموجب القانون رقم (93) لسنة 1981.ينهض المركز بمهمة ومسؤولية وتنمية مهارات وقابليات ومعارف وسلوكيات وأنماط الملاكات المالية والمحاسبية في وزارة المالية والوزارات الاخرى والجهات الغير مرتبطة بوزارة بما في ذلك القطاع المختلط ومنظمات المجتمع المدني بهدف رفع مستوى أداء العاملين في دوائر المالية وسواها من خلال من خلال إقامة البرامج والدورات التدريبية التأهيلية والمتخصصة على حدٍ سواء</w:t>
      </w:r>
      <w:r w:rsidRPr="00E659AA">
        <w:rPr>
          <w:rFonts w:ascii="Traditional Arabic" w:eastAsia="Times New Roman" w:hAnsi="Traditional Arabic" w:cs="Traditional Arabic"/>
          <w:b/>
          <w:bCs/>
          <w:color w:val="0070C0"/>
          <w:sz w:val="30"/>
          <w:szCs w:val="30"/>
          <w:shd w:val="clear" w:color="auto" w:fill="FFFFFF"/>
        </w:rPr>
        <w:t>.  </w:t>
      </w:r>
    </w:p>
    <w:p w:rsidR="00E659AA" w:rsidRPr="00E659AA" w:rsidRDefault="00E659AA" w:rsidP="00E659AA">
      <w:pPr>
        <w:spacing w:after="0" w:line="240" w:lineRule="auto"/>
        <w:jc w:val="right"/>
        <w:rPr>
          <w:rFonts w:ascii="Traditional Arabic" w:eastAsia="Times New Roman" w:hAnsi="Traditional Arabic" w:cs="Traditional Arabic"/>
          <w:b/>
          <w:bCs/>
          <w:color w:val="000000"/>
          <w:sz w:val="36"/>
          <w:szCs w:val="36"/>
          <w:shd w:val="clear" w:color="auto" w:fill="FFFFFF"/>
        </w:rPr>
      </w:pPr>
      <w:r w:rsidRPr="00E659AA">
        <w:rPr>
          <w:rFonts w:ascii="Traditional Arabic" w:eastAsia="Times New Roman" w:hAnsi="Traditional Arabic" w:cs="Traditional Arabic"/>
          <w:b/>
          <w:bCs/>
          <w:color w:val="000000"/>
          <w:sz w:val="30"/>
          <w:szCs w:val="30"/>
          <w:shd w:val="clear" w:color="auto" w:fill="FFFFFF"/>
        </w:rPr>
        <w:br/>
      </w:r>
      <w:r w:rsidRPr="00E659AA">
        <w:rPr>
          <w:rFonts w:ascii="Traditional Arabic" w:eastAsia="Times New Roman" w:hAnsi="Traditional Arabic" w:cs="Traditional Arabic"/>
          <w:b/>
          <w:bCs/>
          <w:color w:val="0070C0"/>
          <w:sz w:val="30"/>
          <w:szCs w:val="30"/>
          <w:shd w:val="clear" w:color="auto" w:fill="FFFFFF"/>
        </w:rPr>
        <w:t>   </w:t>
      </w:r>
      <w:r w:rsidRPr="00E659AA">
        <w:rPr>
          <w:rFonts w:ascii="Traditional Arabic" w:eastAsia="Times New Roman" w:hAnsi="Traditional Arabic" w:cs="Traditional Arabic"/>
          <w:b/>
          <w:bCs/>
          <w:color w:val="3F3151"/>
          <w:sz w:val="36"/>
          <w:szCs w:val="36"/>
          <w:shd w:val="clear" w:color="auto" w:fill="FFFFFF"/>
          <w:rtl/>
        </w:rPr>
        <w:t>يتألف المركز من الأقسام والوحدات التالية</w:t>
      </w:r>
      <w:r w:rsidRPr="00E659AA">
        <w:rPr>
          <w:rFonts w:ascii="Traditional Arabic" w:eastAsia="Times New Roman" w:hAnsi="Traditional Arabic" w:cs="Traditional Arabic"/>
          <w:b/>
          <w:bCs/>
          <w:color w:val="3F3151"/>
          <w:sz w:val="36"/>
          <w:szCs w:val="36"/>
          <w:shd w:val="clear" w:color="auto" w:fill="FFFFFF"/>
        </w:rPr>
        <w:t xml:space="preserve"> :-</w:t>
      </w:r>
      <w:r w:rsidRPr="00E659AA">
        <w:rPr>
          <w:rFonts w:ascii="Traditional Arabic" w:eastAsia="Times New Roman" w:hAnsi="Traditional Arabic" w:cs="Traditional Arabic"/>
          <w:b/>
          <w:bCs/>
          <w:color w:val="000000"/>
          <w:sz w:val="36"/>
          <w:szCs w:val="36"/>
          <w:shd w:val="clear" w:color="auto" w:fill="FFFFFF"/>
        </w:rPr>
        <w:br/>
      </w:r>
      <w:r w:rsidRPr="00E659AA">
        <w:rPr>
          <w:rFonts w:ascii="Traditional Arabic" w:eastAsia="Times New Roman" w:hAnsi="Traditional Arabic" w:cs="Traditional Arabic"/>
          <w:b/>
          <w:bCs/>
          <w:color w:val="3F3151"/>
          <w:sz w:val="36"/>
          <w:szCs w:val="36"/>
          <w:shd w:val="clear" w:color="auto" w:fill="FFFFFF"/>
        </w:rPr>
        <w:t> </w:t>
      </w:r>
      <w:r w:rsidRPr="00E659AA">
        <w:rPr>
          <w:rFonts w:ascii="Traditional Arabic" w:eastAsia="Times New Roman" w:hAnsi="Traditional Arabic" w:cs="Traditional Arabic"/>
          <w:b/>
          <w:bCs/>
          <w:color w:val="0070C0"/>
          <w:sz w:val="30"/>
          <w:szCs w:val="30"/>
          <w:shd w:val="clear" w:color="auto" w:fill="FFFFFF"/>
        </w:rPr>
        <w:t xml:space="preserve">  1- </w:t>
      </w:r>
      <w:r w:rsidRPr="00E659AA">
        <w:rPr>
          <w:rFonts w:ascii="Traditional Arabic" w:eastAsia="Times New Roman" w:hAnsi="Traditional Arabic" w:cs="Traditional Arabic"/>
          <w:b/>
          <w:bCs/>
          <w:color w:val="0070C0"/>
          <w:sz w:val="30"/>
          <w:szCs w:val="30"/>
          <w:shd w:val="clear" w:color="auto" w:fill="FFFFFF"/>
          <w:rtl/>
        </w:rPr>
        <w:t>قسم الادارة والمالية</w:t>
      </w:r>
      <w:r w:rsidRPr="00E659AA">
        <w:rPr>
          <w:rFonts w:ascii="Traditional Arabic" w:eastAsia="Times New Roman" w:hAnsi="Traditional Arabic" w:cs="Traditional Arabic"/>
          <w:b/>
          <w:bCs/>
          <w:color w:val="0070C0"/>
          <w:sz w:val="30"/>
          <w:szCs w:val="30"/>
          <w:shd w:val="clear" w:color="auto" w:fill="FFFFFF"/>
        </w:rPr>
        <w:t>.</w:t>
      </w:r>
      <w:r w:rsidRPr="00E659AA">
        <w:rPr>
          <w:rFonts w:ascii="Traditional Arabic" w:eastAsia="Times New Roman" w:hAnsi="Traditional Arabic" w:cs="Traditional Arabic"/>
          <w:b/>
          <w:bCs/>
          <w:color w:val="0070C0"/>
          <w:sz w:val="30"/>
          <w:szCs w:val="30"/>
          <w:shd w:val="clear" w:color="auto" w:fill="FFFFFF"/>
        </w:rPr>
        <w:br/>
        <w:t xml:space="preserve">   2- </w:t>
      </w:r>
      <w:r w:rsidRPr="00E659AA">
        <w:rPr>
          <w:rFonts w:ascii="Traditional Arabic" w:eastAsia="Times New Roman" w:hAnsi="Traditional Arabic" w:cs="Traditional Arabic"/>
          <w:b/>
          <w:bCs/>
          <w:color w:val="0070C0"/>
          <w:sz w:val="30"/>
          <w:szCs w:val="30"/>
          <w:shd w:val="clear" w:color="auto" w:fill="FFFFFF"/>
          <w:rtl/>
        </w:rPr>
        <w:t>قسم التخطيط المالي والادارة المالية العامة</w:t>
      </w:r>
      <w:r w:rsidRPr="00E659AA">
        <w:rPr>
          <w:rFonts w:ascii="Traditional Arabic" w:eastAsia="Times New Roman" w:hAnsi="Traditional Arabic" w:cs="Traditional Arabic"/>
          <w:b/>
          <w:bCs/>
          <w:color w:val="0070C0"/>
          <w:sz w:val="30"/>
          <w:szCs w:val="30"/>
          <w:shd w:val="clear" w:color="auto" w:fill="FFFFFF"/>
        </w:rPr>
        <w:t>.</w:t>
      </w:r>
      <w:r w:rsidRPr="00E659AA">
        <w:rPr>
          <w:rFonts w:ascii="Traditional Arabic" w:eastAsia="Times New Roman" w:hAnsi="Traditional Arabic" w:cs="Traditional Arabic"/>
          <w:b/>
          <w:bCs/>
          <w:color w:val="0070C0"/>
          <w:sz w:val="30"/>
          <w:szCs w:val="30"/>
          <w:shd w:val="clear" w:color="auto" w:fill="FFFFFF"/>
        </w:rPr>
        <w:br/>
        <w:t xml:space="preserve">   3- </w:t>
      </w:r>
      <w:r w:rsidRPr="00E659AA">
        <w:rPr>
          <w:rFonts w:ascii="Traditional Arabic" w:eastAsia="Times New Roman" w:hAnsi="Traditional Arabic" w:cs="Traditional Arabic"/>
          <w:b/>
          <w:bCs/>
          <w:color w:val="0070C0"/>
          <w:sz w:val="30"/>
          <w:szCs w:val="30"/>
          <w:shd w:val="clear" w:color="auto" w:fill="FFFFFF"/>
          <w:rtl/>
        </w:rPr>
        <w:t>قسم التدريب المحاسبي</w:t>
      </w:r>
      <w:r w:rsidRPr="00E659AA">
        <w:rPr>
          <w:rFonts w:ascii="Traditional Arabic" w:eastAsia="Times New Roman" w:hAnsi="Traditional Arabic" w:cs="Traditional Arabic"/>
          <w:b/>
          <w:bCs/>
          <w:color w:val="0070C0"/>
          <w:sz w:val="30"/>
          <w:szCs w:val="30"/>
          <w:shd w:val="clear" w:color="auto" w:fill="FFFFFF"/>
        </w:rPr>
        <w:t>.</w:t>
      </w:r>
      <w:r w:rsidRPr="00E659AA">
        <w:rPr>
          <w:rFonts w:ascii="Traditional Arabic" w:eastAsia="Times New Roman" w:hAnsi="Traditional Arabic" w:cs="Traditional Arabic"/>
          <w:b/>
          <w:bCs/>
          <w:color w:val="0070C0"/>
          <w:sz w:val="30"/>
          <w:szCs w:val="30"/>
          <w:shd w:val="clear" w:color="auto" w:fill="FFFFFF"/>
        </w:rPr>
        <w:br/>
        <w:t xml:space="preserve">   4- </w:t>
      </w:r>
      <w:r w:rsidRPr="00E659AA">
        <w:rPr>
          <w:rFonts w:ascii="Traditional Arabic" w:eastAsia="Times New Roman" w:hAnsi="Traditional Arabic" w:cs="Traditional Arabic"/>
          <w:b/>
          <w:bCs/>
          <w:color w:val="0070C0"/>
          <w:sz w:val="30"/>
          <w:szCs w:val="30"/>
          <w:shd w:val="clear" w:color="auto" w:fill="FFFFFF"/>
          <w:rtl/>
        </w:rPr>
        <w:t>قسم التشريعات المالية</w:t>
      </w:r>
      <w:r w:rsidRPr="00E659AA">
        <w:rPr>
          <w:rFonts w:ascii="Traditional Arabic" w:eastAsia="Times New Roman" w:hAnsi="Traditional Arabic" w:cs="Traditional Arabic"/>
          <w:b/>
          <w:bCs/>
          <w:color w:val="0070C0"/>
          <w:sz w:val="30"/>
          <w:szCs w:val="30"/>
          <w:shd w:val="clear" w:color="auto" w:fill="FFFFFF"/>
        </w:rPr>
        <w:t>.</w:t>
      </w:r>
      <w:r w:rsidRPr="00E659AA">
        <w:rPr>
          <w:rFonts w:ascii="Traditional Arabic" w:eastAsia="Times New Roman" w:hAnsi="Traditional Arabic" w:cs="Traditional Arabic"/>
          <w:b/>
          <w:bCs/>
          <w:color w:val="0070C0"/>
          <w:sz w:val="30"/>
          <w:szCs w:val="30"/>
          <w:shd w:val="clear" w:color="auto" w:fill="FFFFFF"/>
        </w:rPr>
        <w:br/>
        <w:t xml:space="preserve">   5- </w:t>
      </w:r>
      <w:r w:rsidRPr="00E659AA">
        <w:rPr>
          <w:rFonts w:ascii="Traditional Arabic" w:eastAsia="Times New Roman" w:hAnsi="Traditional Arabic" w:cs="Traditional Arabic"/>
          <w:b/>
          <w:bCs/>
          <w:color w:val="0070C0"/>
          <w:sz w:val="30"/>
          <w:szCs w:val="30"/>
          <w:shd w:val="clear" w:color="auto" w:fill="FFFFFF"/>
          <w:rtl/>
        </w:rPr>
        <w:t>قسم المصارف</w:t>
      </w:r>
      <w:r w:rsidRPr="00E659AA">
        <w:rPr>
          <w:rFonts w:ascii="Traditional Arabic" w:eastAsia="Times New Roman" w:hAnsi="Traditional Arabic" w:cs="Traditional Arabic"/>
          <w:b/>
          <w:bCs/>
          <w:color w:val="0070C0"/>
          <w:sz w:val="30"/>
          <w:szCs w:val="30"/>
          <w:shd w:val="clear" w:color="auto" w:fill="FFFFFF"/>
        </w:rPr>
        <w:t>.</w:t>
      </w:r>
      <w:r w:rsidRPr="00E659AA">
        <w:rPr>
          <w:rFonts w:ascii="Traditional Arabic" w:eastAsia="Times New Roman" w:hAnsi="Traditional Arabic" w:cs="Traditional Arabic"/>
          <w:b/>
          <w:bCs/>
          <w:color w:val="0070C0"/>
          <w:sz w:val="30"/>
          <w:szCs w:val="30"/>
          <w:shd w:val="clear" w:color="auto" w:fill="FFFFFF"/>
        </w:rPr>
        <w:br/>
        <w:t xml:space="preserve">   6- </w:t>
      </w:r>
      <w:r w:rsidRPr="00E659AA">
        <w:rPr>
          <w:rFonts w:ascii="Traditional Arabic" w:eastAsia="Times New Roman" w:hAnsi="Traditional Arabic" w:cs="Traditional Arabic"/>
          <w:b/>
          <w:bCs/>
          <w:color w:val="0070C0"/>
          <w:sz w:val="30"/>
          <w:szCs w:val="30"/>
          <w:shd w:val="clear" w:color="auto" w:fill="FFFFFF"/>
          <w:rtl/>
        </w:rPr>
        <w:t>قسم التأمين</w:t>
      </w:r>
      <w:r w:rsidRPr="00E659AA">
        <w:rPr>
          <w:rFonts w:ascii="Traditional Arabic" w:eastAsia="Times New Roman" w:hAnsi="Traditional Arabic" w:cs="Traditional Arabic"/>
          <w:b/>
          <w:bCs/>
          <w:color w:val="0070C0"/>
          <w:sz w:val="30"/>
          <w:szCs w:val="30"/>
          <w:shd w:val="clear" w:color="auto" w:fill="FFFFFF"/>
        </w:rPr>
        <w:t>.</w:t>
      </w:r>
      <w:r w:rsidRPr="00E659AA">
        <w:rPr>
          <w:rFonts w:ascii="Traditional Arabic" w:eastAsia="Times New Roman" w:hAnsi="Traditional Arabic" w:cs="Traditional Arabic"/>
          <w:b/>
          <w:bCs/>
          <w:color w:val="0070C0"/>
          <w:sz w:val="30"/>
          <w:szCs w:val="30"/>
          <w:shd w:val="clear" w:color="auto" w:fill="FFFFFF"/>
        </w:rPr>
        <w:br/>
        <w:t xml:space="preserve">   7- </w:t>
      </w:r>
      <w:r w:rsidRPr="00E659AA">
        <w:rPr>
          <w:rFonts w:ascii="Traditional Arabic" w:eastAsia="Times New Roman" w:hAnsi="Traditional Arabic" w:cs="Traditional Arabic"/>
          <w:b/>
          <w:bCs/>
          <w:color w:val="0070C0"/>
          <w:sz w:val="30"/>
          <w:szCs w:val="30"/>
          <w:shd w:val="clear" w:color="auto" w:fill="FFFFFF"/>
          <w:rtl/>
        </w:rPr>
        <w:t>قسم البحوث والترجمة</w:t>
      </w:r>
      <w:r w:rsidRPr="00E659AA">
        <w:rPr>
          <w:rFonts w:ascii="Traditional Arabic" w:eastAsia="Times New Roman" w:hAnsi="Traditional Arabic" w:cs="Traditional Arabic"/>
          <w:b/>
          <w:bCs/>
          <w:color w:val="0070C0"/>
          <w:sz w:val="30"/>
          <w:szCs w:val="30"/>
          <w:shd w:val="clear" w:color="auto" w:fill="FFFFFF"/>
        </w:rPr>
        <w:t>.</w:t>
      </w:r>
      <w:r w:rsidRPr="00E659AA">
        <w:rPr>
          <w:rFonts w:ascii="Traditional Arabic" w:eastAsia="Times New Roman" w:hAnsi="Traditional Arabic" w:cs="Traditional Arabic"/>
          <w:b/>
          <w:bCs/>
          <w:color w:val="0070C0"/>
          <w:sz w:val="30"/>
          <w:szCs w:val="30"/>
          <w:shd w:val="clear" w:color="auto" w:fill="FFFFFF"/>
        </w:rPr>
        <w:br/>
        <w:t xml:space="preserve">   8- </w:t>
      </w:r>
      <w:r w:rsidRPr="00E659AA">
        <w:rPr>
          <w:rFonts w:ascii="Traditional Arabic" w:eastAsia="Times New Roman" w:hAnsi="Traditional Arabic" w:cs="Traditional Arabic"/>
          <w:b/>
          <w:bCs/>
          <w:color w:val="0070C0"/>
          <w:sz w:val="30"/>
          <w:szCs w:val="30"/>
          <w:shd w:val="clear" w:color="auto" w:fill="FFFFFF"/>
          <w:rtl/>
        </w:rPr>
        <w:t>قسم متابعة شؤون التدريب</w:t>
      </w:r>
      <w:r w:rsidRPr="00E659AA">
        <w:rPr>
          <w:rFonts w:ascii="Traditional Arabic" w:eastAsia="Times New Roman" w:hAnsi="Traditional Arabic" w:cs="Traditional Arabic"/>
          <w:b/>
          <w:bCs/>
          <w:color w:val="0070C0"/>
          <w:sz w:val="30"/>
          <w:szCs w:val="30"/>
          <w:shd w:val="clear" w:color="auto" w:fill="FFFFFF"/>
        </w:rPr>
        <w:t>.</w:t>
      </w:r>
      <w:r w:rsidRPr="00E659AA">
        <w:rPr>
          <w:rFonts w:ascii="Traditional Arabic" w:eastAsia="Times New Roman" w:hAnsi="Traditional Arabic" w:cs="Traditional Arabic"/>
          <w:b/>
          <w:bCs/>
          <w:color w:val="0070C0"/>
          <w:sz w:val="30"/>
          <w:szCs w:val="30"/>
          <w:shd w:val="clear" w:color="auto" w:fill="FFFFFF"/>
        </w:rPr>
        <w:br/>
        <w:t xml:space="preserve">   9- </w:t>
      </w:r>
      <w:r w:rsidRPr="00E659AA">
        <w:rPr>
          <w:rFonts w:ascii="Traditional Arabic" w:eastAsia="Times New Roman" w:hAnsi="Traditional Arabic" w:cs="Traditional Arabic"/>
          <w:b/>
          <w:bCs/>
          <w:color w:val="0070C0"/>
          <w:sz w:val="30"/>
          <w:szCs w:val="30"/>
          <w:shd w:val="clear" w:color="auto" w:fill="FFFFFF"/>
          <w:rtl/>
        </w:rPr>
        <w:t>قسم التخطيط والمتابعة</w:t>
      </w:r>
      <w:r w:rsidRPr="00E659AA">
        <w:rPr>
          <w:rFonts w:ascii="Traditional Arabic" w:eastAsia="Times New Roman" w:hAnsi="Traditional Arabic" w:cs="Traditional Arabic"/>
          <w:b/>
          <w:bCs/>
          <w:color w:val="0070C0"/>
          <w:sz w:val="30"/>
          <w:szCs w:val="30"/>
          <w:shd w:val="clear" w:color="auto" w:fill="FFFFFF"/>
        </w:rPr>
        <w:t>.</w:t>
      </w:r>
      <w:r w:rsidRPr="00E659AA">
        <w:rPr>
          <w:rFonts w:ascii="Traditional Arabic" w:eastAsia="Times New Roman" w:hAnsi="Traditional Arabic" w:cs="Traditional Arabic"/>
          <w:b/>
          <w:bCs/>
          <w:color w:val="0070C0"/>
          <w:sz w:val="30"/>
          <w:szCs w:val="30"/>
          <w:shd w:val="clear" w:color="auto" w:fill="FFFFFF"/>
        </w:rPr>
        <w:br/>
        <w:t xml:space="preserve">   10- </w:t>
      </w:r>
      <w:r w:rsidRPr="00E659AA">
        <w:rPr>
          <w:rFonts w:ascii="Traditional Arabic" w:eastAsia="Times New Roman" w:hAnsi="Traditional Arabic" w:cs="Traditional Arabic"/>
          <w:b/>
          <w:bCs/>
          <w:color w:val="0070C0"/>
          <w:sz w:val="30"/>
          <w:szCs w:val="30"/>
          <w:shd w:val="clear" w:color="auto" w:fill="FFFFFF"/>
          <w:rtl/>
        </w:rPr>
        <w:t>القسم المالي</w:t>
      </w:r>
      <w:r w:rsidRPr="00E659AA">
        <w:rPr>
          <w:rFonts w:ascii="Traditional Arabic" w:eastAsia="Times New Roman" w:hAnsi="Traditional Arabic" w:cs="Traditional Arabic"/>
          <w:b/>
          <w:bCs/>
          <w:color w:val="0070C0"/>
          <w:sz w:val="30"/>
          <w:szCs w:val="30"/>
          <w:shd w:val="clear" w:color="auto" w:fill="FFFFFF"/>
        </w:rPr>
        <w:t>.</w:t>
      </w:r>
      <w:r w:rsidRPr="00E659AA">
        <w:rPr>
          <w:rFonts w:ascii="Traditional Arabic" w:eastAsia="Times New Roman" w:hAnsi="Traditional Arabic" w:cs="Traditional Arabic"/>
          <w:b/>
          <w:bCs/>
          <w:color w:val="0070C0"/>
          <w:sz w:val="30"/>
          <w:szCs w:val="30"/>
          <w:shd w:val="clear" w:color="auto" w:fill="FFFFFF"/>
        </w:rPr>
        <w:br/>
        <w:t xml:space="preserve">   11- </w:t>
      </w:r>
      <w:r w:rsidRPr="00E659AA">
        <w:rPr>
          <w:rFonts w:ascii="Traditional Arabic" w:eastAsia="Times New Roman" w:hAnsi="Traditional Arabic" w:cs="Traditional Arabic"/>
          <w:b/>
          <w:bCs/>
          <w:color w:val="0070C0"/>
          <w:sz w:val="30"/>
          <w:szCs w:val="30"/>
          <w:shd w:val="clear" w:color="auto" w:fill="FFFFFF"/>
          <w:rtl/>
        </w:rPr>
        <w:t>قسم التدقيق الداخلي</w:t>
      </w:r>
      <w:r w:rsidRPr="00E659AA">
        <w:rPr>
          <w:rFonts w:ascii="Traditional Arabic" w:eastAsia="Times New Roman" w:hAnsi="Traditional Arabic" w:cs="Traditional Arabic"/>
          <w:b/>
          <w:bCs/>
          <w:color w:val="0070C0"/>
          <w:sz w:val="30"/>
          <w:szCs w:val="30"/>
          <w:shd w:val="clear" w:color="auto" w:fill="FFFFFF"/>
        </w:rPr>
        <w:t>.</w:t>
      </w:r>
      <w:r w:rsidRPr="00E659AA">
        <w:rPr>
          <w:rFonts w:ascii="Traditional Arabic" w:eastAsia="Times New Roman" w:hAnsi="Traditional Arabic" w:cs="Traditional Arabic"/>
          <w:b/>
          <w:bCs/>
          <w:color w:val="0070C0"/>
          <w:sz w:val="30"/>
          <w:szCs w:val="30"/>
          <w:shd w:val="clear" w:color="auto" w:fill="FFFFFF"/>
        </w:rPr>
        <w:br/>
        <w:t xml:space="preserve">   12- </w:t>
      </w:r>
      <w:r w:rsidRPr="00E659AA">
        <w:rPr>
          <w:rFonts w:ascii="Traditional Arabic" w:eastAsia="Times New Roman" w:hAnsi="Traditional Arabic" w:cs="Traditional Arabic"/>
          <w:b/>
          <w:bCs/>
          <w:color w:val="0070C0"/>
          <w:sz w:val="30"/>
          <w:szCs w:val="30"/>
          <w:shd w:val="clear" w:color="auto" w:fill="FFFFFF"/>
          <w:rtl/>
        </w:rPr>
        <w:t>وحدة المحاسبة والانترنت</w:t>
      </w:r>
      <w:r w:rsidRPr="00E659AA">
        <w:rPr>
          <w:rFonts w:ascii="Traditional Arabic" w:eastAsia="Times New Roman" w:hAnsi="Traditional Arabic" w:cs="Traditional Arabic"/>
          <w:b/>
          <w:bCs/>
          <w:color w:val="0070C0"/>
          <w:sz w:val="30"/>
          <w:szCs w:val="30"/>
          <w:shd w:val="clear" w:color="auto" w:fill="FFFFFF"/>
        </w:rPr>
        <w:t>.</w:t>
      </w:r>
      <w:r w:rsidRPr="00E659AA">
        <w:rPr>
          <w:rFonts w:ascii="Traditional Arabic" w:eastAsia="Times New Roman" w:hAnsi="Traditional Arabic" w:cs="Traditional Arabic"/>
          <w:b/>
          <w:bCs/>
          <w:color w:val="0070C0"/>
          <w:sz w:val="30"/>
          <w:szCs w:val="30"/>
          <w:shd w:val="clear" w:color="auto" w:fill="FFFFFF"/>
        </w:rPr>
        <w:br/>
        <w:t xml:space="preserve">   13- </w:t>
      </w:r>
      <w:r w:rsidRPr="00E659AA">
        <w:rPr>
          <w:rFonts w:ascii="Traditional Arabic" w:eastAsia="Times New Roman" w:hAnsi="Traditional Arabic" w:cs="Traditional Arabic"/>
          <w:b/>
          <w:bCs/>
          <w:color w:val="0070C0"/>
          <w:sz w:val="30"/>
          <w:szCs w:val="30"/>
          <w:shd w:val="clear" w:color="auto" w:fill="FFFFFF"/>
          <w:rtl/>
        </w:rPr>
        <w:t>وحدة العلاقات والنشر</w:t>
      </w:r>
      <w:r w:rsidRPr="00E659AA">
        <w:rPr>
          <w:rFonts w:ascii="Traditional Arabic" w:eastAsia="Times New Roman" w:hAnsi="Traditional Arabic" w:cs="Traditional Arabic"/>
          <w:b/>
          <w:bCs/>
          <w:color w:val="0070C0"/>
          <w:sz w:val="30"/>
          <w:szCs w:val="30"/>
          <w:shd w:val="clear" w:color="auto" w:fill="FFFFFF"/>
        </w:rPr>
        <w:t>.</w:t>
      </w:r>
      <w:r w:rsidRPr="00E659AA">
        <w:rPr>
          <w:rFonts w:ascii="Traditional Arabic" w:eastAsia="Times New Roman" w:hAnsi="Traditional Arabic" w:cs="Traditional Arabic"/>
          <w:b/>
          <w:bCs/>
          <w:color w:val="0070C0"/>
          <w:sz w:val="30"/>
          <w:szCs w:val="30"/>
          <w:shd w:val="clear" w:color="auto" w:fill="FFFFFF"/>
        </w:rPr>
        <w:br/>
      </w:r>
      <w:r w:rsidRPr="00E659AA">
        <w:rPr>
          <w:rFonts w:ascii="Traditional Arabic" w:eastAsia="Times New Roman" w:hAnsi="Traditional Arabic" w:cs="Traditional Arabic"/>
          <w:b/>
          <w:bCs/>
          <w:color w:val="000000"/>
          <w:sz w:val="30"/>
          <w:szCs w:val="30"/>
          <w:shd w:val="clear" w:color="auto" w:fill="FFFFFF"/>
        </w:rPr>
        <w:br/>
      </w:r>
      <w:r w:rsidRPr="00E659AA">
        <w:rPr>
          <w:rFonts w:ascii="Traditional Arabic" w:eastAsia="Times New Roman" w:hAnsi="Traditional Arabic" w:cs="Traditional Arabic"/>
          <w:b/>
          <w:bCs/>
          <w:color w:val="00B0F0"/>
          <w:sz w:val="30"/>
          <w:szCs w:val="30"/>
          <w:shd w:val="clear" w:color="auto" w:fill="FFFFFF"/>
        </w:rPr>
        <w:t>    </w:t>
      </w:r>
      <w:r w:rsidRPr="00E659AA">
        <w:rPr>
          <w:rFonts w:ascii="Traditional Arabic" w:eastAsia="Times New Roman" w:hAnsi="Traditional Arabic" w:cs="Traditional Arabic"/>
          <w:b/>
          <w:bCs/>
          <w:color w:val="3F3151"/>
          <w:sz w:val="36"/>
          <w:szCs w:val="36"/>
          <w:shd w:val="clear" w:color="auto" w:fill="FFFFFF"/>
          <w:rtl/>
        </w:rPr>
        <w:t>يتكون الإطار الفكري والتوجيهات العامة لخطط المركز فيما يلي :ـ</w:t>
      </w:r>
      <w:r w:rsidRPr="00E659AA">
        <w:rPr>
          <w:rFonts w:ascii="Traditional Arabic" w:eastAsia="Times New Roman" w:hAnsi="Traditional Arabic" w:cs="Traditional Arabic"/>
          <w:b/>
          <w:bCs/>
          <w:color w:val="3F3151"/>
          <w:sz w:val="36"/>
          <w:szCs w:val="36"/>
          <w:shd w:val="clear" w:color="auto" w:fill="FFFFFF"/>
        </w:rPr>
        <w:t> </w:t>
      </w:r>
    </w:p>
    <w:p w:rsidR="00E659AA" w:rsidRPr="00E659AA" w:rsidRDefault="00E659AA" w:rsidP="00E659AA">
      <w:pPr>
        <w:spacing w:after="0" w:line="240" w:lineRule="auto"/>
        <w:jc w:val="right"/>
        <w:rPr>
          <w:rFonts w:ascii="Traditional Arabic" w:eastAsia="Times New Roman" w:hAnsi="Traditional Arabic" w:cs="Traditional Arabic"/>
          <w:b/>
          <w:bCs/>
          <w:color w:val="000000"/>
          <w:sz w:val="36"/>
          <w:szCs w:val="36"/>
          <w:shd w:val="clear" w:color="auto" w:fill="FFFFFF"/>
        </w:rPr>
      </w:pPr>
      <w:r w:rsidRPr="00E659AA">
        <w:rPr>
          <w:rFonts w:ascii="Traditional Arabic" w:eastAsia="Times New Roman" w:hAnsi="Traditional Arabic" w:cs="Traditional Arabic"/>
          <w:b/>
          <w:bCs/>
          <w:color w:val="3F3151"/>
          <w:sz w:val="36"/>
          <w:szCs w:val="36"/>
          <w:shd w:val="clear" w:color="auto" w:fill="FFFFFF"/>
        </w:rPr>
        <w:t>  </w:t>
      </w:r>
      <w:r w:rsidRPr="00E659AA">
        <w:rPr>
          <w:rFonts w:ascii="Traditional Arabic" w:eastAsia="Times New Roman" w:hAnsi="Traditional Arabic" w:cs="Traditional Arabic"/>
          <w:b/>
          <w:bCs/>
          <w:color w:val="0070C0"/>
          <w:sz w:val="30"/>
          <w:szCs w:val="30"/>
          <w:shd w:val="clear" w:color="auto" w:fill="FFFFFF"/>
        </w:rPr>
        <w:t> 1</w:t>
      </w:r>
      <w:r w:rsidRPr="00E659AA">
        <w:rPr>
          <w:rFonts w:ascii="Traditional Arabic" w:eastAsia="Times New Roman" w:hAnsi="Traditional Arabic" w:cs="Traditional Arabic"/>
          <w:b/>
          <w:bCs/>
          <w:color w:val="0070C0"/>
          <w:sz w:val="30"/>
          <w:szCs w:val="30"/>
          <w:shd w:val="clear" w:color="auto" w:fill="FFFFFF"/>
          <w:rtl/>
        </w:rPr>
        <w:t>ـ دعم جهود تشكيلات الوزارة والدوائر المالية أو في الوزارات كافة والجهات الغير مرتبطة بوزارة أو المنظمات الغير حكومية بما فيها القطاع الخاص والمختلط ومنظمات المجتمع المدني من خلال رفع ملاكاتها كافة بالخبرات وتنمية المهارات والمعارف</w:t>
      </w:r>
      <w:r w:rsidRPr="00E659AA">
        <w:rPr>
          <w:rFonts w:ascii="Traditional Arabic" w:eastAsia="Times New Roman" w:hAnsi="Traditional Arabic" w:cs="Traditional Arabic"/>
          <w:b/>
          <w:bCs/>
          <w:color w:val="0070C0"/>
          <w:sz w:val="30"/>
          <w:szCs w:val="30"/>
          <w:shd w:val="clear" w:color="auto" w:fill="FFFFFF"/>
        </w:rPr>
        <w:t>.</w:t>
      </w:r>
    </w:p>
    <w:p w:rsidR="00E659AA" w:rsidRPr="00E659AA" w:rsidRDefault="00E659AA" w:rsidP="00E659AA">
      <w:pPr>
        <w:spacing w:after="0" w:line="240" w:lineRule="auto"/>
        <w:jc w:val="right"/>
        <w:rPr>
          <w:rFonts w:ascii="Traditional Arabic" w:eastAsia="Times New Roman" w:hAnsi="Traditional Arabic" w:cs="Traditional Arabic"/>
          <w:b/>
          <w:bCs/>
          <w:color w:val="0070C0"/>
          <w:sz w:val="30"/>
          <w:szCs w:val="30"/>
          <w:shd w:val="clear" w:color="auto" w:fill="FFFFFF"/>
        </w:rPr>
      </w:pPr>
      <w:r w:rsidRPr="00E659AA">
        <w:rPr>
          <w:rFonts w:ascii="Traditional Arabic" w:eastAsia="Times New Roman" w:hAnsi="Traditional Arabic" w:cs="Traditional Arabic"/>
          <w:b/>
          <w:bCs/>
          <w:color w:val="0070C0"/>
          <w:sz w:val="30"/>
          <w:szCs w:val="30"/>
          <w:shd w:val="clear" w:color="auto" w:fill="FFFFFF"/>
        </w:rPr>
        <w:lastRenderedPageBreak/>
        <w:t>  2</w:t>
      </w:r>
      <w:r w:rsidRPr="00E659AA">
        <w:rPr>
          <w:rFonts w:ascii="Traditional Arabic" w:eastAsia="Times New Roman" w:hAnsi="Traditional Arabic" w:cs="Traditional Arabic"/>
          <w:b/>
          <w:bCs/>
          <w:color w:val="0070C0"/>
          <w:sz w:val="30"/>
          <w:szCs w:val="30"/>
          <w:shd w:val="clear" w:color="auto" w:fill="FFFFFF"/>
          <w:rtl/>
        </w:rPr>
        <w:t>ـ الربط بين معطيات الأداء والتعلم المستمر من جهة وبلورة فلسفة جديدة للتدريب تقوم على تحديد المفاهيم والأسس واحتياجات الإدارات من فرص التدريب ووضع الأسس والصيغ اللازمة لتنفيذ آليات التدريب</w:t>
      </w:r>
      <w:r w:rsidRPr="00E659AA">
        <w:rPr>
          <w:rFonts w:ascii="Traditional Arabic" w:eastAsia="Times New Roman" w:hAnsi="Traditional Arabic" w:cs="Traditional Arabic"/>
          <w:b/>
          <w:bCs/>
          <w:color w:val="0070C0"/>
          <w:sz w:val="30"/>
          <w:szCs w:val="30"/>
          <w:shd w:val="clear" w:color="auto" w:fill="FFFFFF"/>
        </w:rPr>
        <w:t>.</w:t>
      </w:r>
    </w:p>
    <w:p w:rsidR="00E659AA" w:rsidRPr="00E659AA" w:rsidRDefault="00E659AA" w:rsidP="00E659AA">
      <w:pPr>
        <w:spacing w:after="0" w:line="240" w:lineRule="auto"/>
        <w:jc w:val="right"/>
        <w:rPr>
          <w:rFonts w:ascii="Traditional Arabic" w:eastAsia="Times New Roman" w:hAnsi="Traditional Arabic" w:cs="Traditional Arabic"/>
          <w:b/>
          <w:bCs/>
          <w:color w:val="0070C0"/>
          <w:sz w:val="30"/>
          <w:szCs w:val="30"/>
          <w:shd w:val="clear" w:color="auto" w:fill="FFFFFF"/>
        </w:rPr>
      </w:pPr>
      <w:r w:rsidRPr="00E659AA">
        <w:rPr>
          <w:rFonts w:ascii="Traditional Arabic" w:eastAsia="Times New Roman" w:hAnsi="Traditional Arabic" w:cs="Traditional Arabic"/>
          <w:b/>
          <w:bCs/>
          <w:color w:val="0070C0"/>
          <w:sz w:val="30"/>
          <w:szCs w:val="30"/>
          <w:shd w:val="clear" w:color="auto" w:fill="FFFFFF"/>
        </w:rPr>
        <w:t>  3</w:t>
      </w:r>
      <w:r w:rsidRPr="00E659AA">
        <w:rPr>
          <w:rFonts w:ascii="Traditional Arabic" w:eastAsia="Times New Roman" w:hAnsi="Traditional Arabic" w:cs="Traditional Arabic"/>
          <w:b/>
          <w:bCs/>
          <w:color w:val="0070C0"/>
          <w:sz w:val="30"/>
          <w:szCs w:val="30"/>
          <w:shd w:val="clear" w:color="auto" w:fill="FFFFFF"/>
          <w:rtl/>
        </w:rPr>
        <w:t>ـ السعي لبناء كفاءات فنية مؤهلة في حقول المعرفة الاقتصادية ومنها الإدارة المالية العامة والمحاسبية لإسناد الإدارة الكفوءة  لأقتصادنا الوطني وتحقيق التنمية الاقتصادية و الأجتماعية . ـ العمل على تعميق مفهوم التدريب بأعتباره عملية أساسية ومستمرة لأحداث ومواكبة التغيير والتطورات اللاحقة في جهاز الدولة</w:t>
      </w:r>
      <w:r w:rsidRPr="00E659AA">
        <w:rPr>
          <w:rFonts w:ascii="Traditional Arabic" w:eastAsia="Times New Roman" w:hAnsi="Traditional Arabic" w:cs="Traditional Arabic"/>
          <w:b/>
          <w:bCs/>
          <w:color w:val="0070C0"/>
          <w:sz w:val="30"/>
          <w:szCs w:val="30"/>
          <w:shd w:val="clear" w:color="auto" w:fill="FFFFFF"/>
        </w:rPr>
        <w:t xml:space="preserve"> .</w:t>
      </w:r>
    </w:p>
    <w:p w:rsidR="00E659AA" w:rsidRPr="00E659AA" w:rsidRDefault="00E659AA" w:rsidP="00E659AA">
      <w:pPr>
        <w:spacing w:after="0" w:line="240" w:lineRule="auto"/>
        <w:jc w:val="right"/>
        <w:rPr>
          <w:rFonts w:ascii="Traditional Arabic" w:eastAsia="Times New Roman" w:hAnsi="Traditional Arabic" w:cs="Traditional Arabic"/>
          <w:b/>
          <w:bCs/>
          <w:color w:val="0070C0"/>
          <w:sz w:val="30"/>
          <w:szCs w:val="30"/>
          <w:shd w:val="clear" w:color="auto" w:fill="FFFFFF"/>
        </w:rPr>
      </w:pPr>
      <w:r w:rsidRPr="00E659AA">
        <w:rPr>
          <w:rFonts w:ascii="Traditional Arabic" w:eastAsia="Times New Roman" w:hAnsi="Traditional Arabic" w:cs="Traditional Arabic"/>
          <w:b/>
          <w:bCs/>
          <w:color w:val="0070C0"/>
          <w:sz w:val="30"/>
          <w:szCs w:val="30"/>
          <w:shd w:val="clear" w:color="auto" w:fill="FFFFFF"/>
        </w:rPr>
        <w:t>  4</w:t>
      </w:r>
      <w:r w:rsidRPr="00E659AA">
        <w:rPr>
          <w:rFonts w:ascii="Traditional Arabic" w:eastAsia="Times New Roman" w:hAnsi="Traditional Arabic" w:cs="Traditional Arabic"/>
          <w:b/>
          <w:bCs/>
          <w:color w:val="0070C0"/>
          <w:sz w:val="30"/>
          <w:szCs w:val="30"/>
          <w:shd w:val="clear" w:color="auto" w:fill="FFFFFF"/>
          <w:rtl/>
        </w:rPr>
        <w:t>ـ تطوير وتفعيل أساليب وإجراءات عمل سير المعاملات المالية والمحاسبية بما يكفل الوضوح في المسؤوليات وتبسيط  الإجراءات . ـ اعتماد مبدأ مد جسور التواصل مع تشكيلات الوزارة المختلفة أو الوزارات الأخرى والمؤسسات الأكاديمية كمنهج ثابت من مناهج السياسة التدريبية لتلك الأجهزة</w:t>
      </w:r>
      <w:r w:rsidRPr="00E659AA">
        <w:rPr>
          <w:rFonts w:ascii="Traditional Arabic" w:eastAsia="Times New Roman" w:hAnsi="Traditional Arabic" w:cs="Traditional Arabic"/>
          <w:b/>
          <w:bCs/>
          <w:color w:val="0070C0"/>
          <w:sz w:val="30"/>
          <w:szCs w:val="30"/>
          <w:shd w:val="clear" w:color="auto" w:fill="FFFFFF"/>
        </w:rPr>
        <w:t xml:space="preserve"> . </w:t>
      </w:r>
    </w:p>
    <w:p w:rsidR="00E659AA" w:rsidRPr="00E659AA" w:rsidRDefault="00E659AA" w:rsidP="00E659AA">
      <w:pPr>
        <w:spacing w:after="0" w:line="240" w:lineRule="auto"/>
        <w:jc w:val="right"/>
        <w:rPr>
          <w:rFonts w:ascii="Traditional Arabic" w:eastAsia="Times New Roman" w:hAnsi="Traditional Arabic" w:cs="Traditional Arabic"/>
          <w:b/>
          <w:bCs/>
          <w:color w:val="0070C0"/>
          <w:sz w:val="30"/>
          <w:szCs w:val="30"/>
          <w:shd w:val="clear" w:color="auto" w:fill="FFFFFF"/>
        </w:rPr>
      </w:pPr>
      <w:r w:rsidRPr="00E659AA">
        <w:rPr>
          <w:rFonts w:ascii="Traditional Arabic" w:eastAsia="Times New Roman" w:hAnsi="Traditional Arabic" w:cs="Traditional Arabic"/>
          <w:b/>
          <w:bCs/>
          <w:color w:val="0070C0"/>
          <w:sz w:val="30"/>
          <w:szCs w:val="30"/>
          <w:shd w:val="clear" w:color="auto" w:fill="FFFFFF"/>
        </w:rPr>
        <w:t>  5.</w:t>
      </w:r>
      <w:r w:rsidRPr="00E659AA">
        <w:rPr>
          <w:rFonts w:ascii="Traditional Arabic" w:eastAsia="Times New Roman" w:hAnsi="Traditional Arabic" w:cs="Traditional Arabic"/>
          <w:b/>
          <w:bCs/>
          <w:color w:val="0070C0"/>
          <w:sz w:val="30"/>
          <w:szCs w:val="30"/>
          <w:shd w:val="clear" w:color="auto" w:fill="FFFFFF"/>
          <w:rtl/>
        </w:rPr>
        <w:t>العمل على أكمال مشروع البناء التكميلي للمركز بعد المصادقة عليه من قبل الجهات العليا . أما أهم انجازات المركز فتكمن فيما يلي :ـ</w:t>
      </w:r>
      <w:r w:rsidRPr="00E659AA">
        <w:rPr>
          <w:rFonts w:ascii="Traditional Arabic" w:eastAsia="Times New Roman" w:hAnsi="Traditional Arabic" w:cs="Traditional Arabic"/>
          <w:b/>
          <w:bCs/>
          <w:color w:val="0070C0"/>
          <w:sz w:val="30"/>
          <w:szCs w:val="30"/>
          <w:shd w:val="clear" w:color="auto" w:fill="FFFFFF"/>
        </w:rPr>
        <w:t> </w:t>
      </w:r>
      <w:r w:rsidRPr="00E659AA">
        <w:rPr>
          <w:rFonts w:ascii="Traditional Arabic" w:eastAsia="Times New Roman" w:hAnsi="Traditional Arabic" w:cs="Traditional Arabic"/>
          <w:b/>
          <w:bCs/>
          <w:color w:val="0070C0"/>
          <w:sz w:val="30"/>
          <w:szCs w:val="30"/>
          <w:shd w:val="clear" w:color="auto" w:fill="FFFFFF"/>
        </w:rPr>
        <w:br/>
      </w:r>
      <w:r w:rsidRPr="00E659AA">
        <w:rPr>
          <w:rFonts w:ascii="Traditional Arabic" w:eastAsia="Times New Roman" w:hAnsi="Traditional Arabic" w:cs="Traditional Arabic"/>
          <w:b/>
          <w:bCs/>
          <w:color w:val="0070C0"/>
          <w:sz w:val="30"/>
          <w:szCs w:val="30"/>
          <w:shd w:val="clear" w:color="auto" w:fill="FFFFFF"/>
        </w:rPr>
        <w:br/>
        <w:t>   </w:t>
      </w:r>
      <w:r w:rsidRPr="00E659AA">
        <w:rPr>
          <w:rFonts w:ascii="Traditional Arabic" w:eastAsia="Times New Roman" w:hAnsi="Traditional Arabic" w:cs="Traditional Arabic"/>
          <w:b/>
          <w:bCs/>
          <w:color w:val="0070C0"/>
          <w:sz w:val="30"/>
          <w:szCs w:val="30"/>
          <w:shd w:val="clear" w:color="auto" w:fill="FFFFFF"/>
          <w:rtl/>
        </w:rPr>
        <w:t>أولا"  :تصاعدت نسب الانجاز للدورات التدريبية المنفذة في المركز (285) برنامجا" بلغ عدد المتدربين (6046) متدرب للفترة من 31/12/2007لغاية 28/2/2009 نتيجة لتحسن  الوضع الأمني ورفع مستوى أداء المركز</w:t>
      </w:r>
      <w:r w:rsidRPr="00E659AA">
        <w:rPr>
          <w:rFonts w:ascii="Traditional Arabic" w:eastAsia="Times New Roman" w:hAnsi="Traditional Arabic" w:cs="Traditional Arabic"/>
          <w:b/>
          <w:bCs/>
          <w:color w:val="0070C0"/>
          <w:sz w:val="30"/>
          <w:szCs w:val="30"/>
          <w:shd w:val="clear" w:color="auto" w:fill="FFFFFF"/>
        </w:rPr>
        <w:t xml:space="preserve"> .</w:t>
      </w:r>
    </w:p>
    <w:p w:rsidR="00E659AA" w:rsidRPr="00E659AA" w:rsidRDefault="00E659AA" w:rsidP="00E659AA">
      <w:pPr>
        <w:spacing w:after="0" w:line="240" w:lineRule="auto"/>
        <w:jc w:val="right"/>
        <w:rPr>
          <w:rFonts w:ascii="Traditional Arabic" w:eastAsia="Times New Roman" w:hAnsi="Traditional Arabic" w:cs="Traditional Arabic"/>
          <w:b/>
          <w:bCs/>
          <w:color w:val="0070C0"/>
          <w:sz w:val="30"/>
          <w:szCs w:val="30"/>
          <w:shd w:val="clear" w:color="auto" w:fill="FFFFFF"/>
        </w:rPr>
      </w:pPr>
      <w:r w:rsidRPr="00E659AA">
        <w:rPr>
          <w:rFonts w:ascii="Traditional Arabic" w:eastAsia="Times New Roman" w:hAnsi="Traditional Arabic" w:cs="Traditional Arabic"/>
          <w:b/>
          <w:bCs/>
          <w:color w:val="0070C0"/>
          <w:sz w:val="30"/>
          <w:szCs w:val="30"/>
          <w:shd w:val="clear" w:color="auto" w:fill="FFFFFF"/>
          <w:rtl/>
        </w:rPr>
        <w:t>ثانيا" : حصر وربط التدريب في المركزبنوعية التأهيل والمتخصص داخل العراق وخارجه بالنسبة لملاكات  وزارة المالية كافة بالمركز</w:t>
      </w:r>
      <w:r w:rsidRPr="00E659AA">
        <w:rPr>
          <w:rFonts w:ascii="Traditional Arabic" w:eastAsia="Times New Roman" w:hAnsi="Traditional Arabic" w:cs="Traditional Arabic"/>
          <w:b/>
          <w:bCs/>
          <w:color w:val="0070C0"/>
          <w:sz w:val="30"/>
          <w:szCs w:val="30"/>
          <w:shd w:val="clear" w:color="auto" w:fill="FFFFFF"/>
        </w:rPr>
        <w:t xml:space="preserve"> . </w:t>
      </w:r>
    </w:p>
    <w:p w:rsidR="00E659AA" w:rsidRPr="00E659AA" w:rsidRDefault="00E659AA" w:rsidP="00E659AA">
      <w:pPr>
        <w:spacing w:after="0" w:line="240" w:lineRule="auto"/>
        <w:jc w:val="right"/>
        <w:rPr>
          <w:rFonts w:ascii="Traditional Arabic" w:eastAsia="Times New Roman" w:hAnsi="Traditional Arabic" w:cs="Traditional Arabic"/>
          <w:b/>
          <w:bCs/>
          <w:color w:val="0070C0"/>
          <w:sz w:val="30"/>
          <w:szCs w:val="30"/>
          <w:shd w:val="clear" w:color="auto" w:fill="FFFFFF"/>
        </w:rPr>
      </w:pPr>
      <w:r w:rsidRPr="00E659AA">
        <w:rPr>
          <w:rFonts w:ascii="Traditional Arabic" w:eastAsia="Times New Roman" w:hAnsi="Traditional Arabic" w:cs="Traditional Arabic"/>
          <w:b/>
          <w:bCs/>
          <w:color w:val="0070C0"/>
          <w:sz w:val="30"/>
          <w:szCs w:val="30"/>
          <w:shd w:val="clear" w:color="auto" w:fill="FFFFFF"/>
          <w:rtl/>
        </w:rPr>
        <w:t>ثالثا" : أعداد الخطة السنوية لعامي(2008 و2009) التي امتازتا لأول مرة في تأريخ المركز بكونها تتسم بالواقعية والشمول والمرونة ومواكبة التطورات في المجالات المالية والمحاسبية وجميع الشؤون الاقتصادية بما في ذلك الحاسوب والترجمة من اجل تنمية مهارات و قابليات ومهارات وسلوكيات الملاكات المالية والمحاسبية والإدارية لرفع مستوى وكفاءة أدائهم وتدريب المرشحين لأشغال الوظائف المالية في وزارة المالية والوزارات الأخرى والجهات غيرالمرتبطة بوزارة إضافة إلى القطاعين المختلط والخاص والتعاوني ومنظمات المجتمع المدني</w:t>
      </w:r>
      <w:r w:rsidRPr="00E659AA">
        <w:rPr>
          <w:rFonts w:ascii="Traditional Arabic" w:eastAsia="Times New Roman" w:hAnsi="Traditional Arabic" w:cs="Traditional Arabic"/>
          <w:b/>
          <w:bCs/>
          <w:color w:val="0070C0"/>
          <w:sz w:val="30"/>
          <w:szCs w:val="30"/>
          <w:shd w:val="clear" w:color="auto" w:fill="FFFFFF"/>
        </w:rPr>
        <w:t xml:space="preserve"> .</w:t>
      </w:r>
      <w:r w:rsidRPr="00E659AA">
        <w:rPr>
          <w:rFonts w:ascii="Traditional Arabic" w:eastAsia="Times New Roman" w:hAnsi="Traditional Arabic" w:cs="Traditional Arabic"/>
          <w:b/>
          <w:bCs/>
          <w:color w:val="0070C0"/>
          <w:sz w:val="30"/>
          <w:szCs w:val="30"/>
          <w:shd w:val="clear" w:color="auto" w:fill="FFFFFF"/>
        </w:rPr>
        <w:br/>
      </w:r>
      <w:r w:rsidRPr="00E659AA">
        <w:rPr>
          <w:rFonts w:ascii="Traditional Arabic" w:eastAsia="Times New Roman" w:hAnsi="Traditional Arabic" w:cs="Traditional Arabic"/>
          <w:b/>
          <w:bCs/>
          <w:color w:val="0070C0"/>
          <w:sz w:val="30"/>
          <w:szCs w:val="30"/>
          <w:shd w:val="clear" w:color="auto" w:fill="FFFFFF"/>
          <w:rtl/>
        </w:rPr>
        <w:t>رابعا" : اختيار الملاكات الإشرافية القيادية لأقسام ووحدات المركز كافة من بين ملاك المركز</w:t>
      </w:r>
      <w:r w:rsidRPr="00E659AA">
        <w:rPr>
          <w:rFonts w:ascii="Traditional Arabic" w:eastAsia="Times New Roman" w:hAnsi="Traditional Arabic" w:cs="Traditional Arabic"/>
          <w:b/>
          <w:bCs/>
          <w:color w:val="0070C0"/>
          <w:sz w:val="30"/>
          <w:szCs w:val="30"/>
          <w:shd w:val="clear" w:color="auto" w:fill="FFFFFF"/>
        </w:rPr>
        <w:t xml:space="preserve"> .  </w:t>
      </w:r>
      <w:r w:rsidRPr="00E659AA">
        <w:rPr>
          <w:rFonts w:ascii="Traditional Arabic" w:eastAsia="Times New Roman" w:hAnsi="Traditional Arabic" w:cs="Traditional Arabic"/>
          <w:b/>
          <w:bCs/>
          <w:color w:val="0070C0"/>
          <w:sz w:val="30"/>
          <w:szCs w:val="30"/>
          <w:shd w:val="clear" w:color="auto" w:fill="FFFFFF"/>
        </w:rPr>
        <w:br/>
      </w:r>
      <w:r w:rsidRPr="00E659AA">
        <w:rPr>
          <w:rFonts w:ascii="Traditional Arabic" w:eastAsia="Times New Roman" w:hAnsi="Traditional Arabic" w:cs="Traditional Arabic"/>
          <w:b/>
          <w:bCs/>
          <w:color w:val="0070C0"/>
          <w:sz w:val="30"/>
          <w:szCs w:val="30"/>
          <w:shd w:val="clear" w:color="auto" w:fill="FFFFFF"/>
          <w:rtl/>
        </w:rPr>
        <w:t>خامسا" : استحداث  وحدات ( التخطيط والمتابعة / التدقيق / الداخلي / الحاسبة والانترنيت / شؤون التدريب ) لمواجهة المشاكل والأعباء الناجمة عن العمل ولمواكبة التطورات العلمية والتقنية الحديثة والنهوض بواقع المركز نحو الأفضل</w:t>
      </w:r>
      <w:r w:rsidRPr="00E659AA">
        <w:rPr>
          <w:rFonts w:ascii="Traditional Arabic" w:eastAsia="Times New Roman" w:hAnsi="Traditional Arabic" w:cs="Traditional Arabic"/>
          <w:b/>
          <w:bCs/>
          <w:color w:val="0070C0"/>
          <w:sz w:val="30"/>
          <w:szCs w:val="30"/>
          <w:shd w:val="clear" w:color="auto" w:fill="FFFFFF"/>
        </w:rPr>
        <w:t xml:space="preserve"> .</w:t>
      </w:r>
      <w:r w:rsidRPr="00E659AA">
        <w:rPr>
          <w:rFonts w:ascii="Traditional Arabic" w:eastAsia="Times New Roman" w:hAnsi="Traditional Arabic" w:cs="Traditional Arabic"/>
          <w:b/>
          <w:bCs/>
          <w:color w:val="0070C0"/>
          <w:sz w:val="30"/>
          <w:szCs w:val="30"/>
          <w:shd w:val="clear" w:color="auto" w:fill="FFFFFF"/>
        </w:rPr>
        <w:br/>
      </w:r>
      <w:r w:rsidRPr="00E659AA">
        <w:rPr>
          <w:rFonts w:ascii="Traditional Arabic" w:eastAsia="Times New Roman" w:hAnsi="Traditional Arabic" w:cs="Traditional Arabic"/>
          <w:b/>
          <w:bCs/>
          <w:color w:val="0070C0"/>
          <w:sz w:val="30"/>
          <w:szCs w:val="30"/>
          <w:shd w:val="clear" w:color="auto" w:fill="FFFFFF"/>
          <w:rtl/>
        </w:rPr>
        <w:lastRenderedPageBreak/>
        <w:t>سادسا" : السعي بالحصول على كوادر للمركز ذات تخصص عال وتخصصات أولية في حقول المعرفة المالية والمحاسبية الإدارية و الحسوبية والهندسة .... الخ</w:t>
      </w:r>
      <w:r w:rsidRPr="00E659AA">
        <w:rPr>
          <w:rFonts w:ascii="Traditional Arabic" w:eastAsia="Times New Roman" w:hAnsi="Traditional Arabic" w:cs="Traditional Arabic"/>
          <w:b/>
          <w:bCs/>
          <w:color w:val="0070C0"/>
          <w:sz w:val="30"/>
          <w:szCs w:val="30"/>
          <w:shd w:val="clear" w:color="auto" w:fill="FFFFFF"/>
        </w:rPr>
        <w:t xml:space="preserve"> .</w:t>
      </w:r>
      <w:r w:rsidRPr="00E659AA">
        <w:rPr>
          <w:rFonts w:ascii="Traditional Arabic" w:eastAsia="Times New Roman" w:hAnsi="Traditional Arabic" w:cs="Traditional Arabic"/>
          <w:b/>
          <w:bCs/>
          <w:color w:val="0070C0"/>
          <w:sz w:val="30"/>
          <w:szCs w:val="30"/>
          <w:shd w:val="clear" w:color="auto" w:fill="FFFFFF"/>
        </w:rPr>
        <w:br/>
      </w:r>
      <w:r w:rsidRPr="00E659AA">
        <w:rPr>
          <w:rFonts w:ascii="Traditional Arabic" w:eastAsia="Times New Roman" w:hAnsi="Traditional Arabic" w:cs="Traditional Arabic"/>
          <w:b/>
          <w:bCs/>
          <w:color w:val="0070C0"/>
          <w:sz w:val="30"/>
          <w:szCs w:val="30"/>
          <w:shd w:val="clear" w:color="auto" w:fill="FFFFFF"/>
          <w:rtl/>
        </w:rPr>
        <w:t>سابعا" : توسيع نطاق التدريب للمركز عن ممثليه لدى مندوبي مصرف الرافدين في محافظات القطر كالناصرية والنجف إضافة إلى فروع المركز في محافظات الموصل والبصرة وبابل وكركوك لتنفيذ خطط المركز التنفيذيةلكوادر الدولة في المحافظات المعنية وتم تأهيلها بالأثاث والأجهزة الكهربائية والالكترونية والمستلزمات الأخرى</w:t>
      </w:r>
      <w:r w:rsidRPr="00E659AA">
        <w:rPr>
          <w:rFonts w:ascii="Traditional Arabic" w:eastAsia="Times New Roman" w:hAnsi="Traditional Arabic" w:cs="Traditional Arabic"/>
          <w:b/>
          <w:bCs/>
          <w:color w:val="0070C0"/>
          <w:sz w:val="30"/>
          <w:szCs w:val="30"/>
          <w:shd w:val="clear" w:color="auto" w:fill="FFFFFF"/>
        </w:rPr>
        <w:t xml:space="preserve"> .  </w:t>
      </w:r>
      <w:r w:rsidRPr="00E659AA">
        <w:rPr>
          <w:rFonts w:ascii="Traditional Arabic" w:eastAsia="Times New Roman" w:hAnsi="Traditional Arabic" w:cs="Traditional Arabic"/>
          <w:b/>
          <w:bCs/>
          <w:color w:val="0070C0"/>
          <w:sz w:val="30"/>
          <w:szCs w:val="30"/>
          <w:shd w:val="clear" w:color="auto" w:fill="FFFFFF"/>
        </w:rPr>
        <w:br/>
        <w:t> </w:t>
      </w:r>
      <w:r w:rsidRPr="00E659AA">
        <w:rPr>
          <w:rFonts w:ascii="Traditional Arabic" w:eastAsia="Times New Roman" w:hAnsi="Traditional Arabic" w:cs="Traditional Arabic"/>
          <w:b/>
          <w:bCs/>
          <w:color w:val="0070C0"/>
          <w:sz w:val="30"/>
          <w:szCs w:val="30"/>
          <w:shd w:val="clear" w:color="auto" w:fill="FFFFFF"/>
          <w:rtl/>
        </w:rPr>
        <w:t>ثامنا" : تطبيق الترميز الجديد لتبويب حسابات المركز لعام 2007 المتوافق مع نظام</w:t>
      </w:r>
      <w:r w:rsidRPr="00E659AA">
        <w:rPr>
          <w:rFonts w:ascii="Traditional Arabic" w:eastAsia="Times New Roman" w:hAnsi="Traditional Arabic" w:cs="Traditional Arabic"/>
          <w:b/>
          <w:bCs/>
          <w:color w:val="0070C0"/>
          <w:sz w:val="30"/>
          <w:szCs w:val="30"/>
          <w:shd w:val="clear" w:color="auto" w:fill="FFFFFF"/>
        </w:rPr>
        <w:t xml:space="preserve"> (GFS  </w:t>
      </w:r>
      <w:r w:rsidRPr="00E659AA">
        <w:rPr>
          <w:rFonts w:ascii="Traditional Arabic" w:eastAsia="Times New Roman" w:hAnsi="Traditional Arabic" w:cs="Traditional Arabic"/>
          <w:b/>
          <w:bCs/>
          <w:color w:val="0070C0"/>
          <w:sz w:val="30"/>
          <w:szCs w:val="30"/>
          <w:shd w:val="clear" w:color="auto" w:fill="FFFFFF"/>
          <w:rtl/>
        </w:rPr>
        <w:t>وفق ما جاء بتبويبات الموازنة الفدرالية للدولة رقم (4) لسنة 2007</w:t>
      </w:r>
      <w:r w:rsidRPr="00E659AA">
        <w:rPr>
          <w:rFonts w:ascii="Traditional Arabic" w:eastAsia="Times New Roman" w:hAnsi="Traditional Arabic" w:cs="Traditional Arabic"/>
          <w:b/>
          <w:bCs/>
          <w:color w:val="0070C0"/>
          <w:sz w:val="30"/>
          <w:szCs w:val="30"/>
          <w:shd w:val="clear" w:color="auto" w:fill="FFFFFF"/>
        </w:rPr>
        <w:t>).</w:t>
      </w:r>
      <w:r w:rsidRPr="00E659AA">
        <w:rPr>
          <w:rFonts w:ascii="Traditional Arabic" w:eastAsia="Times New Roman" w:hAnsi="Traditional Arabic" w:cs="Traditional Arabic"/>
          <w:b/>
          <w:bCs/>
          <w:color w:val="0070C0"/>
          <w:sz w:val="30"/>
          <w:szCs w:val="30"/>
          <w:shd w:val="clear" w:color="auto" w:fill="FFFFFF"/>
        </w:rPr>
        <w:br/>
      </w:r>
      <w:r w:rsidRPr="00E659AA">
        <w:rPr>
          <w:rFonts w:ascii="Traditional Arabic" w:eastAsia="Times New Roman" w:hAnsi="Traditional Arabic" w:cs="Traditional Arabic"/>
          <w:b/>
          <w:bCs/>
          <w:color w:val="0070C0"/>
          <w:sz w:val="30"/>
          <w:szCs w:val="30"/>
          <w:shd w:val="clear" w:color="auto" w:fill="FFFFFF"/>
          <w:rtl/>
        </w:rPr>
        <w:t>تاسعا" : تجهيز مكتبة المركز بكتب حديثة كمصادر للباحثين والمتدربين لتعزيز أحياء المكتبة إضافة إلى توفير السجلات الأصولية المحاسبية والإدارية و المخزنية</w:t>
      </w:r>
      <w:r w:rsidRPr="00E659AA">
        <w:rPr>
          <w:rFonts w:ascii="Traditional Arabic" w:eastAsia="Times New Roman" w:hAnsi="Traditional Arabic" w:cs="Traditional Arabic"/>
          <w:b/>
          <w:bCs/>
          <w:color w:val="0070C0"/>
          <w:sz w:val="30"/>
          <w:szCs w:val="30"/>
          <w:shd w:val="clear" w:color="auto" w:fill="FFFFFF"/>
        </w:rPr>
        <w:t xml:space="preserve"> .</w:t>
      </w:r>
    </w:p>
    <w:p w:rsidR="00D327F0" w:rsidRDefault="00D327F0">
      <w:bookmarkStart w:id="0" w:name="_GoBack"/>
      <w:bookmarkEnd w:id="0"/>
    </w:p>
    <w:sectPr w:rsidR="00D327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B1"/>
    <w:rsid w:val="009E11B1"/>
    <w:rsid w:val="00D327F0"/>
    <w:rsid w:val="00E659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59AA"/>
    <w:rPr>
      <w:b/>
      <w:bCs/>
    </w:rPr>
  </w:style>
  <w:style w:type="character" w:customStyle="1" w:styleId="apple-converted-space">
    <w:name w:val="apple-converted-space"/>
    <w:basedOn w:val="DefaultParagraphFont"/>
    <w:rsid w:val="00E659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59AA"/>
    <w:rPr>
      <w:b/>
      <w:bCs/>
    </w:rPr>
  </w:style>
  <w:style w:type="character" w:customStyle="1" w:styleId="apple-converted-space">
    <w:name w:val="apple-converted-space"/>
    <w:basedOn w:val="DefaultParagraphFont"/>
    <w:rsid w:val="00E65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00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36e90f3-28f6-43a2-9886-69104c66b47c">VMCDCHTSR4DK-1797567310-209</_dlc_DocId>
    <_dlc_DocIdUrl xmlns="536e90f3-28f6-43a2-9886-69104c66b47c">
      <Url>http://cms-mof/_layouts/DocIdRedir.aspx?ID=VMCDCHTSR4DK-1797567310-209</Url>
      <Description>VMCDCHTSR4DK-1797567310-209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CFB02D1D686404192CB572C2CAAAC32" ma:contentTypeVersion="1" ma:contentTypeDescription="Create a new document." ma:contentTypeScope="" ma:versionID="5e995d3125130d9e15c15229215499c8">
  <xsd:schema xmlns:xsd="http://www.w3.org/2001/XMLSchema" xmlns:xs="http://www.w3.org/2001/XMLSchema" xmlns:p="http://schemas.microsoft.com/office/2006/metadata/properties" xmlns:ns1="http://schemas.microsoft.com/sharepoint/v3" xmlns:ns2="536e90f3-28f6-43a2-9886-69104c66b47c" targetNamespace="http://schemas.microsoft.com/office/2006/metadata/properties" ma:root="true" ma:fieldsID="55da2c33495ab5c7a95f6366e55b278d" ns1:_="" ns2:_="">
    <xsd:import namespace="http://schemas.microsoft.com/sharepoint/v3"/>
    <xsd:import namespace="536e90f3-28f6-43a2-9886-69104c66b47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6e90f3-28f6-43a2-9886-69104c66b47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ECD4BD-A639-487A-9BDE-2A62E84D07A5}"/>
</file>

<file path=customXml/itemProps2.xml><?xml version="1.0" encoding="utf-8"?>
<ds:datastoreItem xmlns:ds="http://schemas.openxmlformats.org/officeDocument/2006/customXml" ds:itemID="{94C36134-02F6-42F4-9E60-6476B92E2BC0}"/>
</file>

<file path=customXml/itemProps3.xml><?xml version="1.0" encoding="utf-8"?>
<ds:datastoreItem xmlns:ds="http://schemas.openxmlformats.org/officeDocument/2006/customXml" ds:itemID="{BA14D89C-5823-461D-90C7-294C09309831}"/>
</file>

<file path=customXml/itemProps4.xml><?xml version="1.0" encoding="utf-8"?>
<ds:datastoreItem xmlns:ds="http://schemas.openxmlformats.org/officeDocument/2006/customXml" ds:itemID="{D0D67D05-A164-42A6-A487-CE5D87DB6A9C}"/>
</file>

<file path=docProps/app.xml><?xml version="1.0" encoding="utf-8"?>
<Properties xmlns="http://schemas.openxmlformats.org/officeDocument/2006/extended-properties" xmlns:vt="http://schemas.openxmlformats.org/officeDocument/2006/docPropsVTypes">
  <Template>Normal.dotm</Template>
  <TotalTime>0</TotalTime>
  <Pages>1</Pages>
  <Words>591</Words>
  <Characters>3374</Characters>
  <Application>Microsoft Office Word</Application>
  <DocSecurity>0</DocSecurity>
  <Lines>28</Lines>
  <Paragraphs>7</Paragraphs>
  <ScaleCrop>false</ScaleCrop>
  <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TrainingCenterFin_Act</dc:title>
  <dc:subject/>
  <dc:creator>Bazoka</dc:creator>
  <cp:keywords/>
  <dc:description/>
  <cp:lastModifiedBy>Bazoka</cp:lastModifiedBy>
  <cp:revision>3</cp:revision>
  <dcterms:created xsi:type="dcterms:W3CDTF">2013-04-17T10:45:00Z</dcterms:created>
  <dcterms:modified xsi:type="dcterms:W3CDTF">2013-04-17T10:45:00Z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0x0101007CFB02D1D686404192CB572C2CAAAC32</vt:lpwstr>
  </property>
  <property fmtid="{D5CDD505-2E9C-101B-9397-08002B2CF9AE}" pid="3" name="_dlc_DocIdItemGuid">
    <vt:lpwstr>b38ed876-5ea3-48bd-a49d-dc5ab7cc19cd</vt:lpwstr>
  </property>
</Properties>
</file>