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B" w:rsidRDefault="002F18C5" w:rsidP="009B350D">
      <w:pPr>
        <w:jc w:val="center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bookmarkStart w:id="0" w:name="_GoBack"/>
      <w:bookmarkEnd w:id="0"/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 w:rsidR="009B350D"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تشرين الاول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053C87"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t>(المبالغ بالمليون)</w:t>
      </w:r>
    </w:p>
    <w:tbl>
      <w:tblPr>
        <w:bidiVisual/>
        <w:tblW w:w="6760" w:type="dxa"/>
        <w:tblInd w:w="89" w:type="dxa"/>
        <w:tblLook w:val="04A0" w:firstRow="1" w:lastRow="0" w:firstColumn="1" w:lastColumn="0" w:noHBand="0" w:noVBand="1"/>
      </w:tblPr>
      <w:tblGrid>
        <w:gridCol w:w="4880"/>
        <w:gridCol w:w="1880"/>
      </w:tblGrid>
      <w:tr w:rsidR="0097085B" w:rsidRPr="0097085B" w:rsidTr="0097085B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97085B" w:rsidRPr="0097085B" w:rsidTr="0097085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97085B" w:rsidRPr="0097085B" w:rsidTr="0097085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97085B" w:rsidRPr="0097085B" w:rsidTr="0097085B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>43,582,177</w:t>
            </w:r>
          </w:p>
        </w:tc>
      </w:tr>
    </w:tbl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9B350D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8127423" cy="4310743"/>
            <wp:effectExtent l="19050" t="0" r="25977" b="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tbl>
      <w:tblPr>
        <w:bidiVisual/>
        <w:tblW w:w="6760" w:type="dxa"/>
        <w:tblInd w:w="89" w:type="dxa"/>
        <w:tblLook w:val="04A0" w:firstRow="1" w:lastRow="0" w:firstColumn="1" w:lastColumn="0" w:noHBand="0" w:noVBand="1"/>
      </w:tblPr>
      <w:tblGrid>
        <w:gridCol w:w="4575"/>
        <w:gridCol w:w="2185"/>
      </w:tblGrid>
      <w:tr w:rsidR="0097085B" w:rsidRPr="0097085B" w:rsidTr="0097085B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الملخص التنفيذي للأيرادات والمصروفات </w:t>
            </w:r>
          </w:p>
        </w:tc>
      </w:tr>
      <w:tr w:rsidR="0097085B" w:rsidRPr="0097085B" w:rsidTr="0097085B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7085B" w:rsidRPr="0097085B" w:rsidRDefault="0097085B" w:rsidP="0097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97085B" w:rsidRPr="0097085B" w:rsidTr="0097085B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41,502,829 </w:t>
            </w:r>
          </w:p>
        </w:tc>
      </w:tr>
      <w:tr w:rsidR="0097085B" w:rsidRPr="0097085B" w:rsidTr="0097085B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40,723,569 </w:t>
            </w:r>
          </w:p>
        </w:tc>
      </w:tr>
      <w:tr w:rsidR="0097085B" w:rsidRPr="0097085B" w:rsidTr="0097085B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2,858,608 </w:t>
            </w:r>
          </w:p>
        </w:tc>
      </w:tr>
      <w:tr w:rsidR="0097085B" w:rsidRPr="0097085B" w:rsidTr="0097085B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7085B" w:rsidRPr="0097085B" w:rsidRDefault="0097085B" w:rsidP="0097085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8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43,582,177 </w:t>
            </w:r>
          </w:p>
        </w:tc>
      </w:tr>
    </w:tbl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9B350D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8008669" cy="4310743"/>
            <wp:effectExtent l="19050" t="0" r="11381" b="0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80" w:rightFromText="180" w:horzAnchor="margin" w:tblpXSpec="right" w:tblpY="580"/>
        <w:bidiVisual/>
        <w:tblW w:w="8420" w:type="dxa"/>
        <w:tblLook w:val="04A0" w:firstRow="1" w:lastRow="0" w:firstColumn="1" w:lastColumn="0" w:noHBand="0" w:noVBand="1"/>
      </w:tblPr>
      <w:tblGrid>
        <w:gridCol w:w="4175"/>
        <w:gridCol w:w="2618"/>
        <w:gridCol w:w="1627"/>
      </w:tblGrid>
      <w:tr w:rsidR="00C57FD7" w:rsidRPr="00C57FD7" w:rsidTr="00C57FD7">
        <w:trPr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الإيرادات حسب تصنيفها الاقتصادي</w:t>
            </w:r>
          </w:p>
        </w:tc>
      </w:tr>
      <w:tr w:rsidR="00C57FD7" w:rsidRPr="00C57FD7" w:rsidTr="00C57FD7">
        <w:trPr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الأيرادات مفروزة حسب نسبة الأهمية النسبية </w:t>
            </w:r>
          </w:p>
        </w:tc>
      </w:tr>
      <w:tr w:rsidR="00C57FD7" w:rsidRPr="00C57FD7" w:rsidTr="00C57FD7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34,350,332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2,352,128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2,156,894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1,256,962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524,061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506,400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322,786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33,266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C57FD7" w:rsidRPr="00C57FD7" w:rsidTr="00C57FD7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41,502,829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57FD7" w:rsidRPr="00C57FD7" w:rsidRDefault="00C57FD7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9B350D" w:rsidRDefault="009B350D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9B350D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8067221" cy="3004457"/>
            <wp:effectExtent l="19050" t="0" r="9979" b="5443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9B350D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page" w:tblpX="7625" w:tblpY="1235"/>
        <w:bidiVisual/>
        <w:tblW w:w="0" w:type="auto"/>
        <w:tblLook w:val="04A0" w:firstRow="1" w:lastRow="0" w:firstColumn="1" w:lastColumn="0" w:noHBand="0" w:noVBand="1"/>
      </w:tblPr>
      <w:tblGrid>
        <w:gridCol w:w="3740"/>
        <w:gridCol w:w="1318"/>
        <w:gridCol w:w="1318"/>
        <w:gridCol w:w="1047"/>
      </w:tblGrid>
      <w:tr w:rsidR="00C57FD7" w:rsidRPr="00C57FD7" w:rsidTr="00C57FD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جدول يوضح نسبة التنفيذ للمصروفات حسب التصنيف الإقتصادي</w:t>
            </w:r>
          </w:p>
        </w:tc>
      </w:tr>
      <w:tr w:rsidR="00C57FD7" w:rsidRPr="00C57FD7" w:rsidTr="00C57FD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C57FD7" w:rsidRPr="00C57FD7" w:rsidRDefault="00C57FD7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نسبه التنفيذ</w:t>
            </w:r>
          </w:p>
        </w:tc>
      </w:tr>
      <w:tr w:rsidR="00C523BF" w:rsidRPr="00C57FD7" w:rsidTr="00C57F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3BF" w:rsidRPr="00C57FD7" w:rsidRDefault="00C523BF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3BF" w:rsidRPr="00C57FD7" w:rsidRDefault="00C523BF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3BF" w:rsidRPr="00C57FD7" w:rsidRDefault="00C523BF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3BF" w:rsidRPr="00C57FD7" w:rsidRDefault="00C523BF" w:rsidP="00C57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25,940,776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66%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8,490,971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48%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224,431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43%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4,872,897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34%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487,068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56,700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592,177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35,068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23,481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C523BF" w:rsidRPr="00C57FD7" w:rsidTr="00C57F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40,723,569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523BF" w:rsidRPr="00C57FD7" w:rsidRDefault="00C523BF" w:rsidP="00C57FD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D7">
              <w:rPr>
                <w:rFonts w:ascii="Arial" w:eastAsia="Times New Roman" w:hAnsi="Arial" w:cs="Arial"/>
                <w:b/>
                <w:bCs/>
                <w:color w:val="000000"/>
              </w:rPr>
              <w:t>51%</w:t>
            </w:r>
          </w:p>
        </w:tc>
      </w:tr>
    </w:tbl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23BF" w:rsidRDefault="00C523BF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23BF" w:rsidRDefault="00C523BF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C523BF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7708166" cy="2992582"/>
            <wp:effectExtent l="19050" t="0" r="26134" b="0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15"/>
        <w:bidiVisual/>
        <w:tblW w:w="15026" w:type="dxa"/>
        <w:tblInd w:w="385" w:type="dxa"/>
        <w:tblLook w:val="04A0" w:firstRow="1" w:lastRow="0" w:firstColumn="1" w:lastColumn="0" w:noHBand="0" w:noVBand="1"/>
      </w:tblPr>
      <w:tblGrid>
        <w:gridCol w:w="3559"/>
        <w:gridCol w:w="2223"/>
        <w:gridCol w:w="1970"/>
        <w:gridCol w:w="2128"/>
        <w:gridCol w:w="2180"/>
        <w:gridCol w:w="1409"/>
        <w:gridCol w:w="1557"/>
      </w:tblGrid>
      <w:tr w:rsidR="00C523BF" w:rsidRPr="00C523BF" w:rsidTr="00C523BF">
        <w:trPr>
          <w:trHeight w:val="59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C523BF" w:rsidRPr="00C523BF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                                                           </w:t>
            </w:r>
            <w:r w:rsidR="00C523BF"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ملخص تنفيذ الموازنه حسب التصنيف الأداري مع أرصدة السلف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(الجزء الاول)</w:t>
            </w:r>
          </w:p>
        </w:tc>
      </w:tr>
      <w:tr w:rsidR="00C523BF" w:rsidRPr="00C523BF" w:rsidTr="00C523BF">
        <w:trPr>
          <w:trHeight w:val="67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اسماء الوزارات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المصدق 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الأنفاق الفعلي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أرصدة السلف 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الأنفاق </w:t>
            </w:r>
            <w:r w:rsidR="00F2663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العام </w:t>
            </w: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(فعلي+ سلف )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نسبة التنفيذ </w:t>
            </w:r>
            <w:r w:rsidR="00F2663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للإنفاق الفعلي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نسبة التنفيذ للانفاق العام 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وزارةالدفاع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6,181,886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4,811,775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245,697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5,057,471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الداخلية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9,976,297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8,046,015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-32,889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8,013,126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التربية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7,712,985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5,955,463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6,217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5,961,680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الشباب والرياضة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104,261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79,642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79,878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مجلس النواب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429,207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314,667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5,851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320,518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الصناعة والمعادن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1,076,710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777,674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2,059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779,733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مجلس القضاء الاعلى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452,131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308,383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308,695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الموارد المائية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265,121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180,124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180,743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العدل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597,434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402,454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402,876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مجلس الوزراء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3,192,642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1,857,150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267,989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2,125,139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التعليم العالي والبحث العلمي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2,792,270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1,783,033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54,975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1,838,008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66%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دوائر غير مرتبطة بوزارة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905,912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486,937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88,798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575,735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64%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النقل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196,365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119,880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794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120,674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الثقافة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171,612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93,346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11,498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104,844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الكهرباء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1,958,962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727,403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421,109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1,148,513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الصحة والبيئة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4,980,837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2,426,947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424,738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2,851,685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المالية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17,764,879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9,913,186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240,499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10,153,685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رئاسة الجمهورية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59,163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34,147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-566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33,581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الاعمار والاسكان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1,006,481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538,083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29,909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567,992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56%</w:t>
            </w:r>
          </w:p>
        </w:tc>
      </w:tr>
      <w:tr w:rsidR="00C523BF" w:rsidRPr="00C523BF" w:rsidTr="00C523BF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التخطيط والتعاون الانمائي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61,859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34,360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34,439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56%</w:t>
            </w:r>
          </w:p>
        </w:tc>
      </w:tr>
    </w:tbl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7FD7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7FD7" w:rsidRDefault="00C523BF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C523BF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8035216" cy="5650750"/>
            <wp:effectExtent l="19050" t="0" r="22934" b="7100"/>
            <wp:docPr id="6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horzAnchor="margin" w:tblpXSpec="center" w:tblpY="448"/>
        <w:bidiVisual/>
        <w:tblW w:w="15021" w:type="dxa"/>
        <w:tblLook w:val="04A0" w:firstRow="1" w:lastRow="0" w:firstColumn="1" w:lastColumn="0" w:noHBand="0" w:noVBand="1"/>
      </w:tblPr>
      <w:tblGrid>
        <w:gridCol w:w="14"/>
        <w:gridCol w:w="3640"/>
        <w:gridCol w:w="2231"/>
        <w:gridCol w:w="1978"/>
        <w:gridCol w:w="2135"/>
        <w:gridCol w:w="2188"/>
        <w:gridCol w:w="1414"/>
        <w:gridCol w:w="1408"/>
        <w:gridCol w:w="13"/>
      </w:tblGrid>
      <w:tr w:rsidR="00C523BF" w:rsidRPr="00C523BF" w:rsidTr="00D31ADF">
        <w:trPr>
          <w:gridAfter w:val="1"/>
          <w:wAfter w:w="13" w:type="dxa"/>
          <w:trHeight w:val="601"/>
        </w:trPr>
        <w:tc>
          <w:tcPr>
            <w:tcW w:w="15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C523BF" w:rsidRPr="00C523BF" w:rsidRDefault="00F26635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                                                           </w:t>
            </w: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ملخص تنفيذ الموازنه حسب التصنيف الأداري مع أرصدة السلف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(الجزء الثاني)</w:t>
            </w:r>
          </w:p>
        </w:tc>
      </w:tr>
      <w:tr w:rsidR="00D31ADF" w:rsidRPr="00C523BF" w:rsidTr="00D31ADF">
        <w:trPr>
          <w:gridBefore w:val="1"/>
          <w:wBefore w:w="14" w:type="dxa"/>
          <w:trHeight w:val="687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اسماء الوزارات</w:t>
            </w:r>
          </w:p>
        </w:tc>
        <w:tc>
          <w:tcPr>
            <w:tcW w:w="2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المصدق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الأنفاق الفعلي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أرصدة السلف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الأنفاق </w:t>
            </w:r>
            <w:r w:rsidR="00F2663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العام </w:t>
            </w: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(فعلي+ سلف )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F2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نسبة التنفيذ </w:t>
            </w:r>
            <w:r w:rsidR="00F2663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للإنفاق الفعلي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523BF" w:rsidRPr="00C523BF" w:rsidRDefault="00C523BF" w:rsidP="00C52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نسبة التنفيذ للانفاق العام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الخارجية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348,780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105,498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54,005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159,504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المهجرين والمهاجرين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1,169,211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97,475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428,699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526,174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الزراعة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801,651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185,015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159,040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344,055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وزارةالعمل والشوؤن الاجتماعية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2,229,148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777,996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778,751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النفط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2,049,568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276,380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389,899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666,280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التجارة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4,304,520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338,308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52,925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391,233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الاتصالات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174,521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15,622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15,645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البلديات والاشغال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2,363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2,387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العلوم والتكنولوجيا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-7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البيئة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-1,645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-1,645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وزارة حقوق الانسان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1,669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1,658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بغداد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3,815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3,828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ديالى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7,192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7,517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بابل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5,523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6,410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ميسان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واسط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4,177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4,323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النجف الاشرف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2,934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2,936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الديوانية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4,235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824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5,059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المثنى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1,013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1,016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C523BF" w:rsidRPr="00C523BF" w:rsidTr="00D31ADF">
        <w:trPr>
          <w:gridBefore w:val="1"/>
          <w:wBefore w:w="14" w:type="dxa"/>
          <w:trHeight w:val="36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محافظة كربلاء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3,256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2,668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5,924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523BF" w:rsidRPr="00C523BF" w:rsidRDefault="00C523BF" w:rsidP="00C52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23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</w:tbl>
    <w:p w:rsidR="00C523BF" w:rsidRDefault="00C523BF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rtl/>
          <w:lang w:bidi="ar-IQ"/>
        </w:rPr>
      </w:pPr>
    </w:p>
    <w:p w:rsidR="00C523BF" w:rsidRPr="009B350D" w:rsidRDefault="00D31ADF" w:rsidP="00C57FD7">
      <w:pPr>
        <w:rPr>
          <w:rFonts w:ascii="Andalus" w:hAnsi="Andalus" w:cs="Andalus"/>
          <w:b/>
          <w:bCs/>
          <w:color w:val="548DD4" w:themeColor="text2" w:themeTint="99"/>
          <w:sz w:val="24"/>
          <w:szCs w:val="24"/>
          <w:lang w:bidi="ar-IQ"/>
        </w:rPr>
      </w:pPr>
      <w:r w:rsidRPr="00D31ADF">
        <w:rPr>
          <w:rFonts w:ascii="Andalus" w:hAnsi="Andalus" w:cs="Andalus"/>
          <w:b/>
          <w:bCs/>
          <w:noProof/>
          <w:color w:val="548DD4" w:themeColor="text2" w:themeTint="99"/>
          <w:sz w:val="24"/>
          <w:szCs w:val="24"/>
          <w:rtl/>
        </w:rPr>
        <w:drawing>
          <wp:inline distT="0" distB="0" distL="0" distR="0">
            <wp:extent cx="8125774" cy="5759533"/>
            <wp:effectExtent l="19050" t="0" r="27626" b="0"/>
            <wp:docPr id="12" name="مخطط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523BF" w:rsidRPr="009B350D" w:rsidSect="00745E82">
      <w:footerReference w:type="default" r:id="rId14"/>
      <w:pgSz w:w="16838" w:h="11906" w:orient="landscape"/>
      <w:pgMar w:top="709" w:right="2096" w:bottom="426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24" w:rsidRDefault="00420B24" w:rsidP="000105EC">
      <w:pPr>
        <w:spacing w:after="0" w:line="240" w:lineRule="auto"/>
      </w:pPr>
      <w:r>
        <w:separator/>
      </w:r>
    </w:p>
  </w:endnote>
  <w:endnote w:type="continuationSeparator" w:id="0">
    <w:p w:rsidR="00420B24" w:rsidRDefault="00420B24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006879"/>
      <w:docPartObj>
        <w:docPartGallery w:val="Page Numbers (Bottom of Page)"/>
        <w:docPartUnique/>
      </w:docPartObj>
    </w:sdtPr>
    <w:sdtEndPr/>
    <w:sdtContent>
      <w:p w:rsidR="000105EC" w:rsidRDefault="00D95243">
        <w:pPr>
          <w:pStyle w:val="Footer"/>
          <w:jc w:val="center"/>
        </w:pPr>
        <w:r>
          <w:fldChar w:fldCharType="begin"/>
        </w:r>
        <w:r w:rsidR="0034143B">
          <w:instrText xml:space="preserve"> PAGE   \* MERGEFORMAT </w:instrText>
        </w:r>
        <w:r>
          <w:fldChar w:fldCharType="separate"/>
        </w:r>
        <w:r w:rsidR="0004645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0105EC" w:rsidRDefault="0001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24" w:rsidRDefault="00420B24" w:rsidP="000105EC">
      <w:pPr>
        <w:spacing w:after="0" w:line="240" w:lineRule="auto"/>
      </w:pPr>
      <w:r>
        <w:separator/>
      </w:r>
    </w:p>
  </w:footnote>
  <w:footnote w:type="continuationSeparator" w:id="0">
    <w:p w:rsidR="00420B24" w:rsidRDefault="00420B24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BD"/>
    <w:rsid w:val="0000556B"/>
    <w:rsid w:val="000105EC"/>
    <w:rsid w:val="00031874"/>
    <w:rsid w:val="00040609"/>
    <w:rsid w:val="0004645E"/>
    <w:rsid w:val="000508B7"/>
    <w:rsid w:val="00053C87"/>
    <w:rsid w:val="000C5BBC"/>
    <w:rsid w:val="000F125D"/>
    <w:rsid w:val="000F1D4F"/>
    <w:rsid w:val="000F7915"/>
    <w:rsid w:val="00131B27"/>
    <w:rsid w:val="001D0D2C"/>
    <w:rsid w:val="00216C5B"/>
    <w:rsid w:val="00245FCF"/>
    <w:rsid w:val="002C78D9"/>
    <w:rsid w:val="002E19EC"/>
    <w:rsid w:val="002F18C5"/>
    <w:rsid w:val="00320690"/>
    <w:rsid w:val="00330BDB"/>
    <w:rsid w:val="00331DAB"/>
    <w:rsid w:val="0034143B"/>
    <w:rsid w:val="003A645B"/>
    <w:rsid w:val="003B3837"/>
    <w:rsid w:val="003C0D14"/>
    <w:rsid w:val="003D7DEF"/>
    <w:rsid w:val="00420B24"/>
    <w:rsid w:val="00421A27"/>
    <w:rsid w:val="0044606E"/>
    <w:rsid w:val="004558F6"/>
    <w:rsid w:val="004565EB"/>
    <w:rsid w:val="00483D9D"/>
    <w:rsid w:val="00486664"/>
    <w:rsid w:val="004A03F7"/>
    <w:rsid w:val="004A4675"/>
    <w:rsid w:val="004A79A0"/>
    <w:rsid w:val="005C4971"/>
    <w:rsid w:val="005E48F3"/>
    <w:rsid w:val="005F1248"/>
    <w:rsid w:val="00621752"/>
    <w:rsid w:val="006519C3"/>
    <w:rsid w:val="0068319D"/>
    <w:rsid w:val="00745E82"/>
    <w:rsid w:val="007615E3"/>
    <w:rsid w:val="007F42B8"/>
    <w:rsid w:val="00810B66"/>
    <w:rsid w:val="008200A1"/>
    <w:rsid w:val="00840C03"/>
    <w:rsid w:val="00872DB0"/>
    <w:rsid w:val="00881E49"/>
    <w:rsid w:val="0088731F"/>
    <w:rsid w:val="008C7529"/>
    <w:rsid w:val="009648A0"/>
    <w:rsid w:val="00966474"/>
    <w:rsid w:val="00966B76"/>
    <w:rsid w:val="0097085B"/>
    <w:rsid w:val="009962DE"/>
    <w:rsid w:val="00997090"/>
    <w:rsid w:val="009B350D"/>
    <w:rsid w:val="009C2506"/>
    <w:rsid w:val="00A1613D"/>
    <w:rsid w:val="00A371B5"/>
    <w:rsid w:val="00AA63EA"/>
    <w:rsid w:val="00AB1F96"/>
    <w:rsid w:val="00AB2207"/>
    <w:rsid w:val="00B5362E"/>
    <w:rsid w:val="00B8507C"/>
    <w:rsid w:val="00BA7C23"/>
    <w:rsid w:val="00C523BF"/>
    <w:rsid w:val="00C57FD7"/>
    <w:rsid w:val="00C6341E"/>
    <w:rsid w:val="00CC6413"/>
    <w:rsid w:val="00CE07EA"/>
    <w:rsid w:val="00CE12E3"/>
    <w:rsid w:val="00CF53C2"/>
    <w:rsid w:val="00D3153B"/>
    <w:rsid w:val="00D31ADF"/>
    <w:rsid w:val="00D61BC0"/>
    <w:rsid w:val="00D95243"/>
    <w:rsid w:val="00DA26FC"/>
    <w:rsid w:val="00DF71BD"/>
    <w:rsid w:val="00EC4EDD"/>
    <w:rsid w:val="00EC7F28"/>
    <w:rsid w:val="00ED580C"/>
    <w:rsid w:val="00F04EC7"/>
    <w:rsid w:val="00F062EF"/>
    <w:rsid w:val="00F07197"/>
    <w:rsid w:val="00F26635"/>
    <w:rsid w:val="00F41CCF"/>
    <w:rsid w:val="00F60072"/>
    <w:rsid w:val="00F92E05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I%20ZUBAIR\Desktop\&#1578;&#1588;&#1585;&#1610;&#1606;%20&#1575;&#1604;&#1575;&#1608;&#1604;\&#1578;&#1602;&#1585;&#1610;&#1585;%20&#1578;&#1606;&#1601;&#1610;&#1584;%20&#1575;&#1604;&#1605;&#1608;&#1575;&#1586;&#1606;&#1577;%20&#1604;&#1594;&#1575;&#1610;&#1577;%20&#1578;&#1588;&#1585;&#1610;&#1606;%20&#1575;&#1604;&#1575;&#1608;&#1604;%202016%20&#1604;&#1604;&#1605;&#1608;&#1575;&#1586;&#1606;&#1577;%20&#1575;&#1604;&#1580;&#1575;&#1585;&#1610;&#1577;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9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324E-2"/>
                  <c:y val="-0.43659574734063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43586416.414394662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491200"/>
        <c:axId val="75492736"/>
        <c:axId val="0"/>
      </c:bar3DChart>
      <c:catAx>
        <c:axId val="75491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5492736"/>
        <c:crosses val="autoZero"/>
        <c:auto val="1"/>
        <c:lblAlgn val="ctr"/>
        <c:lblOffset val="100"/>
        <c:noMultiLvlLbl val="0"/>
      </c:catAx>
      <c:valAx>
        <c:axId val="7549273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549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3032217988051944"/>
          <c:y val="3.5592348562070102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3357E-17"/>
                  <c:y val="-2.506769841190208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1247E-3"/>
                  <c:y val="-3.76374730931580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7E-2"/>
                  <c:y val="-2.924564814721938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41502829.144828491</c:v>
                </c:pt>
                <c:pt idx="1">
                  <c:v>40723568.719533816</c:v>
                </c:pt>
                <c:pt idx="2">
                  <c:v>2858608.4957743874</c:v>
                </c:pt>
                <c:pt idx="3">
                  <c:v>43582177.21530804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735424"/>
        <c:axId val="75736960"/>
        <c:axId val="0"/>
      </c:bar3DChart>
      <c:catAx>
        <c:axId val="75735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5736960"/>
        <c:crosses val="autoZero"/>
        <c:auto val="1"/>
        <c:lblAlgn val="ctr"/>
        <c:lblOffset val="100"/>
        <c:noMultiLvlLbl val="0"/>
      </c:catAx>
      <c:valAx>
        <c:axId val="75736960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573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/>
          </a:p>
        </c:rich>
      </c:tx>
      <c:layout>
        <c:manualLayout>
          <c:xMode val="edge"/>
          <c:yMode val="edge"/>
          <c:x val="0.51781451182348281"/>
          <c:y val="3.7601547617853698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212E-2"/>
                  <c:y val="-8.14700198386816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309E-2"/>
                  <c:y val="-6.05802711620968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8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43E-2"/>
                  <c:y val="-5.84912962944385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2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43E-2"/>
                  <c:y val="-4.386847222082883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824E-3"/>
                  <c:y val="-4.386847222082883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الضرائب على الدخول والثروات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0.82766242743271068</c:v>
                </c:pt>
                <c:pt idx="1">
                  <c:v>5.6673921065932435E-2</c:v>
                </c:pt>
                <c:pt idx="2">
                  <c:v>5.1969799735236334E-2</c:v>
                </c:pt>
                <c:pt idx="3" formatCode="0.0%">
                  <c:v>3.0286182577910603E-2</c:v>
                </c:pt>
                <c:pt idx="4">
                  <c:v>1.2627109852567235E-2</c:v>
                </c:pt>
                <c:pt idx="5">
                  <c:v>1.2201589792024655E-2</c:v>
                </c:pt>
                <c:pt idx="6">
                  <c:v>7.7774366613117124E-3</c:v>
                </c:pt>
                <c:pt idx="7" formatCode="0.0%">
                  <c:v>8.0153288230680215E-4</c:v>
                </c:pt>
              </c:numCache>
            </c:numRef>
          </c:val>
        </c:ser>
        <c:ser>
          <c:idx val="1"/>
          <c:order val="1"/>
          <c:tx>
            <c:strRef>
              <c:f>'ورقه عمل'!$B$20:$B$22</c:f>
              <c:strCache>
                <c:ptCount val="1"/>
                <c:pt idx="0">
                  <c:v>جدول الإيرادات حسب تصنيفها الاقتصادي الأيرادات مفروزة حسب نسبة الأهمية النسبية  الايرادات الفعلية </c:v>
                </c:pt>
              </c:strCache>
            </c:strRef>
          </c:tx>
          <c:invertIfNegative val="0"/>
          <c:cat>
            <c:strRef>
              <c:f>'ورقه عمل'!$A$23:$A$31</c:f>
              <c:strCache>
                <c:ptCount val="9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الضرائب على الدخول والثروات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  <c:pt idx="8">
                  <c:v> المجموع العام</c:v>
                </c:pt>
              </c:strCache>
            </c:strRef>
          </c:cat>
          <c:val>
            <c:numRef>
              <c:f>'ورقه عمل'!$B$23:$B$31</c:f>
              <c:numCache>
                <c:formatCode>_-* #,##0_-;_-* #,##0\-;_-* "-"??_-;_-@_-</c:formatCode>
                <c:ptCount val="9"/>
                <c:pt idx="0">
                  <c:v>34350332.315333799</c:v>
                </c:pt>
                <c:pt idx="1">
                  <c:v>2352128.0629668897</c:v>
                </c:pt>
                <c:pt idx="2">
                  <c:v>2156893.71910246</c:v>
                </c:pt>
                <c:pt idx="3">
                  <c:v>1256962.2609800999</c:v>
                </c:pt>
                <c:pt idx="4">
                  <c:v>524060.78280407586</c:v>
                </c:pt>
                <c:pt idx="5">
                  <c:v>506400.49643368128</c:v>
                </c:pt>
                <c:pt idx="6">
                  <c:v>322785.624939145</c:v>
                </c:pt>
                <c:pt idx="7">
                  <c:v>33265.882268341156</c:v>
                </c:pt>
                <c:pt idx="8">
                  <c:v>41502829.144828491</c:v>
                </c:pt>
              </c:numCache>
            </c:numRef>
          </c:val>
        </c:ser>
        <c:ser>
          <c:idx val="2"/>
          <c:order val="2"/>
          <c:tx>
            <c:strRef>
              <c:f>'ورقه عمل'!$C$20:$C$22</c:f>
              <c:strCache>
                <c:ptCount val="1"/>
                <c:pt idx="0">
                  <c:v>جدول الإيرادات حسب تصنيفها الاقتصادي الأيرادات مفروزة حسب نسبة الأهمية النسبية  نسبة الأهمية النسبية </c:v>
                </c:pt>
              </c:strCache>
            </c:strRef>
          </c:tx>
          <c:invertIfNegative val="0"/>
          <c:cat>
            <c:strRef>
              <c:f>'ورقه عمل'!$A$23:$A$31</c:f>
              <c:strCache>
                <c:ptCount val="9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الضرائب على الدخول والثروات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  <c:pt idx="8">
                  <c:v> المجموع العام</c:v>
                </c:pt>
              </c:strCache>
            </c:strRef>
          </c:cat>
          <c:val>
            <c:numRef>
              <c:f>'ورقه عمل'!$C$23:$C$31</c:f>
              <c:numCache>
                <c:formatCode>0%</c:formatCode>
                <c:ptCount val="9"/>
                <c:pt idx="0">
                  <c:v>0.82766242743271068</c:v>
                </c:pt>
                <c:pt idx="1">
                  <c:v>5.6673921065932435E-2</c:v>
                </c:pt>
                <c:pt idx="2">
                  <c:v>5.1969799735236334E-2</c:v>
                </c:pt>
                <c:pt idx="3" formatCode="0.0%">
                  <c:v>3.0286182577910603E-2</c:v>
                </c:pt>
                <c:pt idx="4">
                  <c:v>1.2627109852567235E-2</c:v>
                </c:pt>
                <c:pt idx="5">
                  <c:v>1.2201589792024655E-2</c:v>
                </c:pt>
                <c:pt idx="6">
                  <c:v>7.7774366613117124E-3</c:v>
                </c:pt>
                <c:pt idx="7" formatCode="0.0%">
                  <c:v>8.0153288230680215E-4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464128"/>
        <c:axId val="76465664"/>
        <c:axId val="0"/>
      </c:bar3DChart>
      <c:catAx>
        <c:axId val="764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76465664"/>
        <c:crosses val="autoZero"/>
        <c:auto val="1"/>
        <c:lblAlgn val="ctr"/>
        <c:lblOffset val="100"/>
        <c:noMultiLvlLbl val="0"/>
      </c:catAx>
      <c:valAx>
        <c:axId val="7646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7646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7E-2"/>
                  <c:y val="-1.880077380892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6001E-3"/>
                  <c:y val="-1.880077380892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الرعاية الاجتماعية</c:v>
                </c:pt>
                <c:pt idx="2">
                  <c:v> صيانة الموجودات</c:v>
                </c:pt>
                <c:pt idx="3">
                  <c:v> المنح والاعانات وخدمة الدين</c:v>
                </c:pt>
                <c:pt idx="4">
                  <c:v> المستلزمات الخدمية</c:v>
                </c:pt>
                <c:pt idx="5">
                  <c:v> النفقات الرأسمالية</c:v>
                </c:pt>
                <c:pt idx="6">
                  <c:v> المستلزمات السلعية</c:v>
                </c:pt>
                <c:pt idx="7">
                  <c:v>الالتزامات والمساهمات والمساعدات الخارجيه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0.66267640740860512</c:v>
                </c:pt>
                <c:pt idx="1">
                  <c:v>0.47961363895787801</c:v>
                </c:pt>
                <c:pt idx="2">
                  <c:v>0.43073308086374751</c:v>
                </c:pt>
                <c:pt idx="3">
                  <c:v>0.33562277407221747</c:v>
                </c:pt>
                <c:pt idx="4">
                  <c:v>0.22903378853031794</c:v>
                </c:pt>
                <c:pt idx="5">
                  <c:v>0.21023971284012097</c:v>
                </c:pt>
                <c:pt idx="6">
                  <c:v>0.13142874207875405</c:v>
                </c:pt>
                <c:pt idx="7">
                  <c:v>5.0031662906437513E-2</c:v>
                </c:pt>
                <c:pt idx="8">
                  <c:v>3.5727230742670882E-2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598720"/>
        <c:axId val="81600512"/>
        <c:axId val="0"/>
      </c:bar3DChart>
      <c:catAx>
        <c:axId val="8159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81600512"/>
        <c:crosses val="autoZero"/>
        <c:auto val="1"/>
        <c:lblAlgn val="ctr"/>
        <c:lblOffset val="100"/>
        <c:noMultiLvlLbl val="0"/>
      </c:catAx>
      <c:valAx>
        <c:axId val="8160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8159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0918584040584103"/>
          <c:y val="3.7601555237749051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عمل'!$A$53:$A$72</c:f>
              <c:strCache>
                <c:ptCount val="20"/>
                <c:pt idx="0">
                  <c:v>وزارةالدفاع</c:v>
                </c:pt>
                <c:pt idx="1">
                  <c:v>وزارة الداخلية</c:v>
                </c:pt>
                <c:pt idx="2">
                  <c:v>وزارة التربية</c:v>
                </c:pt>
                <c:pt idx="3">
                  <c:v>وزارة الشباب والرياضة</c:v>
                </c:pt>
                <c:pt idx="4">
                  <c:v>مجلس النواب</c:v>
                </c:pt>
                <c:pt idx="5">
                  <c:v>وزارة الصناعة والمعادن</c:v>
                </c:pt>
                <c:pt idx="6">
                  <c:v>مجلس القضاء الاعلى</c:v>
                </c:pt>
                <c:pt idx="7">
                  <c:v>وزارة الموارد المائية</c:v>
                </c:pt>
                <c:pt idx="8">
                  <c:v>وزارة العدل</c:v>
                </c:pt>
                <c:pt idx="9">
                  <c:v>مجلس الوزراء</c:v>
                </c:pt>
                <c:pt idx="10">
                  <c:v>وزارة التعليم العالي والبحث العلمي</c:v>
                </c:pt>
                <c:pt idx="11">
                  <c:v>دوائر غير مرتبطة بوزارة</c:v>
                </c:pt>
                <c:pt idx="12">
                  <c:v>وزارة النقل</c:v>
                </c:pt>
                <c:pt idx="13">
                  <c:v>وزارة الثقافة</c:v>
                </c:pt>
                <c:pt idx="14">
                  <c:v>وزارة الكهرباء</c:v>
                </c:pt>
                <c:pt idx="15">
                  <c:v>وزارة الصحة والبيئة</c:v>
                </c:pt>
                <c:pt idx="16">
                  <c:v>وزارة المالية</c:v>
                </c:pt>
                <c:pt idx="17">
                  <c:v>رئاسة الجمهورية</c:v>
                </c:pt>
                <c:pt idx="18">
                  <c:v>وزارة الاعمار والاسكان</c:v>
                </c:pt>
                <c:pt idx="19">
                  <c:v>وزارة التخطيط والتعاون الانمائي</c:v>
                </c:pt>
              </c:strCache>
            </c:strRef>
          </c:cat>
          <c:val>
            <c:numRef>
              <c:f>'ورقه عمل'!$G$53:$G$72</c:f>
              <c:numCache>
                <c:formatCode>0%</c:formatCode>
                <c:ptCount val="20"/>
                <c:pt idx="0">
                  <c:v>0.81811143269302622</c:v>
                </c:pt>
                <c:pt idx="1">
                  <c:v>0.80321652368072149</c:v>
                </c:pt>
                <c:pt idx="2">
                  <c:v>0.77294072650388734</c:v>
                </c:pt>
                <c:pt idx="3">
                  <c:v>0.76614037547525282</c:v>
                </c:pt>
                <c:pt idx="4">
                  <c:v>0.74676758507622865</c:v>
                </c:pt>
                <c:pt idx="5">
                  <c:v>0.72418124300894215</c:v>
                </c:pt>
                <c:pt idx="6">
                  <c:v>0.68275540271333646</c:v>
                </c:pt>
                <c:pt idx="7">
                  <c:v>0.68173753857001373</c:v>
                </c:pt>
                <c:pt idx="8">
                  <c:v>0.67434488026928974</c:v>
                </c:pt>
                <c:pt idx="9">
                  <c:v>0.6656365128139744</c:v>
                </c:pt>
                <c:pt idx="10">
                  <c:v>0.65824856167253165</c:v>
                </c:pt>
                <c:pt idx="11">
                  <c:v>0.6355309276891381</c:v>
                </c:pt>
                <c:pt idx="12">
                  <c:v>0.61453705445544515</c:v>
                </c:pt>
                <c:pt idx="13">
                  <c:v>0.61093504669424281</c:v>
                </c:pt>
                <c:pt idx="14">
                  <c:v>0.58628646029395337</c:v>
                </c:pt>
                <c:pt idx="15">
                  <c:v>0.57253131135319324</c:v>
                </c:pt>
                <c:pt idx="16">
                  <c:v>0.57155949494257063</c:v>
                </c:pt>
                <c:pt idx="17">
                  <c:v>0.56760295348789558</c:v>
                </c:pt>
                <c:pt idx="18">
                  <c:v>0.56433445386688164</c:v>
                </c:pt>
                <c:pt idx="19">
                  <c:v>0.55673195856654445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650432"/>
        <c:axId val="81651968"/>
        <c:axId val="0"/>
      </c:bar3DChart>
      <c:catAx>
        <c:axId val="8165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81651968"/>
        <c:crosses val="autoZero"/>
        <c:auto val="1"/>
        <c:lblAlgn val="ctr"/>
        <c:lblOffset val="100"/>
        <c:noMultiLvlLbl val="0"/>
      </c:catAx>
      <c:valAx>
        <c:axId val="8165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8165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1005018112632072"/>
          <c:y val="3.7671042283424126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عمل'!$A$73:$A$92</c:f>
              <c:strCache>
                <c:ptCount val="20"/>
                <c:pt idx="0">
                  <c:v>وزارة الخارجية</c:v>
                </c:pt>
                <c:pt idx="1">
                  <c:v>وزارة المهجرين والمهاجرين</c:v>
                </c:pt>
                <c:pt idx="2">
                  <c:v>وزارة الزراعة</c:v>
                </c:pt>
                <c:pt idx="3">
                  <c:v>وزارةالعمل والشوؤن الاجتماعية</c:v>
                </c:pt>
                <c:pt idx="4">
                  <c:v>وزارة النفط</c:v>
                </c:pt>
                <c:pt idx="5">
                  <c:v>وزارة التجارة</c:v>
                </c:pt>
                <c:pt idx="6">
                  <c:v>وزارة الاتصالات</c:v>
                </c:pt>
                <c:pt idx="7">
                  <c:v>وزارة البلديات والاشغال</c:v>
                </c:pt>
                <c:pt idx="8">
                  <c:v>وزارة العلوم والتكنولوجيا</c:v>
                </c:pt>
                <c:pt idx="9">
                  <c:v>وزارة البيئة</c:v>
                </c:pt>
                <c:pt idx="10">
                  <c:v>وزارة حقوق الانسان</c:v>
                </c:pt>
                <c:pt idx="11">
                  <c:v>محافظة بغداد</c:v>
                </c:pt>
                <c:pt idx="12">
                  <c:v>محافظة ديالى</c:v>
                </c:pt>
                <c:pt idx="13">
                  <c:v>محافظة بابل</c:v>
                </c:pt>
                <c:pt idx="14">
                  <c:v>محافظة ميسان</c:v>
                </c:pt>
                <c:pt idx="15">
                  <c:v> محافظة واسط</c:v>
                </c:pt>
                <c:pt idx="16">
                  <c:v>محافظة النجف الاشرف</c:v>
                </c:pt>
                <c:pt idx="17">
                  <c:v>محافظة الديوانية</c:v>
                </c:pt>
                <c:pt idx="18">
                  <c:v>محافظة المثنى</c:v>
                </c:pt>
                <c:pt idx="19">
                  <c:v>محافظة كربلاء</c:v>
                </c:pt>
              </c:strCache>
            </c:strRef>
          </c:cat>
          <c:val>
            <c:numRef>
              <c:f>'ورقه عمل'!$G$73:$G$92</c:f>
              <c:numCache>
                <c:formatCode>0%</c:formatCode>
                <c:ptCount val="20"/>
                <c:pt idx="0">
                  <c:v>0.45731868075057935</c:v>
                </c:pt>
                <c:pt idx="1">
                  <c:v>0.45002507710166445</c:v>
                </c:pt>
                <c:pt idx="2">
                  <c:v>0.42918356471728047</c:v>
                </c:pt>
                <c:pt idx="3">
                  <c:v>0.3493492379448595</c:v>
                </c:pt>
                <c:pt idx="4">
                  <c:v>0.32508307731843877</c:v>
                </c:pt>
                <c:pt idx="5">
                  <c:v>9.088891428596195E-2</c:v>
                </c:pt>
                <c:pt idx="6">
                  <c:v>8.9646193033148594E-2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671872"/>
        <c:axId val="78673408"/>
        <c:axId val="0"/>
      </c:bar3DChart>
      <c:catAx>
        <c:axId val="786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8673408"/>
        <c:crosses val="autoZero"/>
        <c:auto val="1"/>
        <c:lblAlgn val="ctr"/>
        <c:lblOffset val="100"/>
        <c:noMultiLvlLbl val="0"/>
      </c:catAx>
      <c:valAx>
        <c:axId val="78673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7867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VMCDCHTSR4DK-1850682920-336</_dlc_DocId>
    <_dlc_DocIdUrl xmlns="536e90f3-28f6-43a2-9886-69104c66b47c">
      <Url>http://cms-mof/_layouts/DocIdRedir.aspx?ID=VMCDCHTSR4DK-1850682920-336</Url>
      <Description>VMCDCHTSR4DK-1850682920-336</Description>
    </_dlc_DocIdUrl>
  </documentManagement>
</p:properties>
</file>

<file path=customXml/itemProps1.xml><?xml version="1.0" encoding="utf-8"?>
<ds:datastoreItem xmlns:ds="http://schemas.openxmlformats.org/officeDocument/2006/customXml" ds:itemID="{4B110AD3-1228-4978-A369-2C1E3FA6F0C5}"/>
</file>

<file path=customXml/itemProps2.xml><?xml version="1.0" encoding="utf-8"?>
<ds:datastoreItem xmlns:ds="http://schemas.openxmlformats.org/officeDocument/2006/customXml" ds:itemID="{00067F63-4798-48FE-8491-C8619EA0D25D}"/>
</file>

<file path=customXml/itemProps3.xml><?xml version="1.0" encoding="utf-8"?>
<ds:datastoreItem xmlns:ds="http://schemas.openxmlformats.org/officeDocument/2006/customXml" ds:itemID="{3336A284-81F1-4692-BA5E-ED1595DB61D9}"/>
</file>

<file path=customXml/itemProps4.xml><?xml version="1.0" encoding="utf-8"?>
<ds:datastoreItem xmlns:ds="http://schemas.openxmlformats.org/officeDocument/2006/customXml" ds:itemID="{2690B86B-D820-4026-AF90-38001C1A92BE}"/>
</file>

<file path=customXml/itemProps5.xml><?xml version="1.0" encoding="utf-8"?>
<ds:datastoreItem xmlns:ds="http://schemas.openxmlformats.org/officeDocument/2006/customXml" ds:itemID="{2DA042B5-9D2D-47A2-994C-F9078BC96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تشرين الاول 2016</dc:title>
  <dc:subject/>
  <dc:creator>MOF</dc:creator>
  <cp:keywords/>
  <dc:description/>
  <cp:lastModifiedBy>DR.Ahmed Saker 2o1O</cp:lastModifiedBy>
  <cp:revision>48</cp:revision>
  <dcterms:created xsi:type="dcterms:W3CDTF">2016-07-31T10:16:00Z</dcterms:created>
  <dcterms:modified xsi:type="dcterms:W3CDTF">2017-01-05T07:24:00Z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80ee9a8a-f05b-4be5-a8bb-d150551fa915</vt:lpwstr>
  </property>
</Properties>
</file>